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2527" w:rsidRPr="00C0373D" w:rsidRDefault="00E51AF2" w:rsidP="00F6773C">
      <w:pPr>
        <w:rPr>
          <w:rFonts w:ascii="Avenir" w:hAnsi="Avenir"/>
          <w:b/>
          <w:bCs/>
          <w:sz w:val="28"/>
          <w:szCs w:val="28"/>
        </w:rPr>
      </w:pPr>
      <w:r w:rsidRPr="00C0373D">
        <w:rPr>
          <w:rFonts w:ascii="Avenir" w:hAnsi="Avenir"/>
          <w:noProof/>
          <w:lang w:eastAsia="en-GB"/>
        </w:rPr>
        <w:drawing>
          <wp:inline distT="0" distB="0" distL="0" distR="0">
            <wp:extent cx="1219200" cy="106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060450"/>
                    </a:xfrm>
                    <a:prstGeom prst="rect">
                      <a:avLst/>
                    </a:prstGeom>
                    <a:noFill/>
                    <a:ln>
                      <a:noFill/>
                    </a:ln>
                  </pic:spPr>
                </pic:pic>
              </a:graphicData>
            </a:graphic>
          </wp:inline>
        </w:drawing>
      </w:r>
    </w:p>
    <w:p w:rsidR="002F6A49" w:rsidRPr="00C0373D" w:rsidRDefault="002F6A49" w:rsidP="00F6773C">
      <w:pPr>
        <w:rPr>
          <w:rFonts w:ascii="Avenir" w:hAnsi="Avenir"/>
          <w:b/>
          <w:bCs/>
          <w:sz w:val="28"/>
          <w:szCs w:val="28"/>
        </w:rPr>
      </w:pPr>
      <w:r w:rsidRPr="00C0373D">
        <w:rPr>
          <w:rFonts w:ascii="Avenir" w:hAnsi="Avenir"/>
          <w:b/>
          <w:bCs/>
          <w:sz w:val="28"/>
          <w:szCs w:val="28"/>
        </w:rPr>
        <w:t xml:space="preserve">Fact sheet: </w:t>
      </w:r>
      <w:r w:rsidR="00DB0086" w:rsidRPr="00C0373D">
        <w:rPr>
          <w:rFonts w:ascii="Avenir" w:hAnsi="Avenir"/>
          <w:b/>
          <w:bCs/>
          <w:sz w:val="28"/>
          <w:szCs w:val="28"/>
        </w:rPr>
        <w:t xml:space="preserve">Constructing hostels to build </w:t>
      </w:r>
      <w:r w:rsidRPr="00C0373D">
        <w:rPr>
          <w:rFonts w:ascii="Avenir" w:hAnsi="Avenir"/>
          <w:b/>
          <w:bCs/>
          <w:sz w:val="28"/>
          <w:szCs w:val="28"/>
        </w:rPr>
        <w:t xml:space="preserve">a future for </w:t>
      </w:r>
      <w:r w:rsidR="005A794A" w:rsidRPr="00C0373D">
        <w:rPr>
          <w:rFonts w:ascii="Avenir" w:hAnsi="Avenir"/>
          <w:b/>
          <w:bCs/>
          <w:sz w:val="28"/>
          <w:szCs w:val="28"/>
        </w:rPr>
        <w:t xml:space="preserve">rural </w:t>
      </w:r>
      <w:r w:rsidRPr="00C0373D">
        <w:rPr>
          <w:rFonts w:ascii="Avenir" w:hAnsi="Avenir"/>
          <w:b/>
          <w:bCs/>
          <w:sz w:val="28"/>
          <w:szCs w:val="28"/>
        </w:rPr>
        <w:t xml:space="preserve">girls </w:t>
      </w:r>
    </w:p>
    <w:p w:rsidR="00F6773C" w:rsidRPr="00C0373D" w:rsidRDefault="00F6773C" w:rsidP="00DB0086">
      <w:pPr>
        <w:pStyle w:val="ListParagraph"/>
        <w:numPr>
          <w:ilvl w:val="0"/>
          <w:numId w:val="20"/>
        </w:numPr>
        <w:ind w:left="284" w:hanging="284"/>
        <w:jc w:val="both"/>
        <w:rPr>
          <w:rFonts w:ascii="Avenir" w:hAnsi="Avenir" w:cstheme="minorHAnsi"/>
          <w:b/>
          <w:sz w:val="24"/>
          <w:szCs w:val="24"/>
        </w:rPr>
      </w:pPr>
      <w:r w:rsidRPr="00C0373D">
        <w:rPr>
          <w:rFonts w:ascii="Avenir" w:hAnsi="Avenir" w:cstheme="minorHAnsi"/>
          <w:b/>
          <w:sz w:val="24"/>
          <w:szCs w:val="24"/>
        </w:rPr>
        <w:t xml:space="preserve">How can we help more girls to remain in school? </w:t>
      </w:r>
    </w:p>
    <w:p w:rsidR="00867DCD" w:rsidRPr="00C0373D" w:rsidRDefault="00D879AD" w:rsidP="00DB0086">
      <w:pPr>
        <w:pStyle w:val="ListParagraph"/>
        <w:ind w:left="284"/>
        <w:jc w:val="both"/>
        <w:rPr>
          <w:rFonts w:ascii="Avenir" w:hAnsi="Avenir" w:cstheme="minorHAnsi"/>
        </w:rPr>
      </w:pPr>
      <w:r w:rsidRPr="00C0373D">
        <w:rPr>
          <w:rFonts w:ascii="Avenir" w:hAnsi="Avenir" w:cstheme="minorHAnsi"/>
        </w:rPr>
        <w:t>T</w:t>
      </w:r>
      <w:r w:rsidR="00686C3E" w:rsidRPr="00C0373D">
        <w:rPr>
          <w:rFonts w:ascii="Avenir" w:hAnsi="Avenir" w:cstheme="minorHAnsi"/>
        </w:rPr>
        <w:t xml:space="preserve">here is a clear correlation between levels of education and teenage pregnancy. </w:t>
      </w:r>
      <w:r w:rsidRPr="00C0373D">
        <w:rPr>
          <w:rFonts w:ascii="Avenir" w:hAnsi="Avenir" w:cstheme="minorHAnsi"/>
        </w:rPr>
        <w:t>As levels of education rise, the risk of pregnancy falls. 52% of adolescent girls with no education are pregnant or have given birth, compared to 10% of adolescent girls with a secondary or higher education.</w:t>
      </w:r>
      <w:r w:rsidR="0078487A" w:rsidRPr="00C0373D">
        <w:rPr>
          <w:rStyle w:val="FootnoteReference"/>
          <w:rFonts w:ascii="Avenir" w:hAnsi="Avenir" w:cstheme="minorHAnsi"/>
        </w:rPr>
        <w:footnoteReference w:id="1"/>
      </w:r>
      <w:r w:rsidRPr="00C0373D">
        <w:rPr>
          <w:rFonts w:ascii="Avenir" w:hAnsi="Avenir" w:cstheme="minorHAnsi"/>
        </w:rPr>
        <w:t xml:space="preserve"> </w:t>
      </w:r>
    </w:p>
    <w:p w:rsidR="00867DCD" w:rsidRPr="00C0373D" w:rsidRDefault="00F6773C" w:rsidP="00DB0086">
      <w:pPr>
        <w:ind w:left="284"/>
        <w:jc w:val="both"/>
        <w:rPr>
          <w:rFonts w:ascii="Avenir" w:hAnsi="Avenir" w:cs="Calibri"/>
        </w:rPr>
      </w:pPr>
      <w:r w:rsidRPr="00C0373D">
        <w:rPr>
          <w:rFonts w:ascii="Avenir" w:hAnsi="Avenir" w:cs="Calibri"/>
        </w:rPr>
        <w:t>Completing a g</w:t>
      </w:r>
      <w:r w:rsidR="00D879AD" w:rsidRPr="00C0373D">
        <w:rPr>
          <w:rFonts w:ascii="Avenir" w:hAnsi="Avenir" w:cs="Calibri"/>
        </w:rPr>
        <w:t xml:space="preserve">ood quality secondary education is </w:t>
      </w:r>
      <w:r w:rsidRPr="00C0373D">
        <w:rPr>
          <w:rFonts w:ascii="Avenir" w:hAnsi="Avenir" w:cs="Calibri"/>
        </w:rPr>
        <w:t xml:space="preserve">thus </w:t>
      </w:r>
      <w:r w:rsidR="00D879AD" w:rsidRPr="00C0373D">
        <w:rPr>
          <w:rFonts w:ascii="Avenir" w:hAnsi="Avenir" w:cs="Calibri"/>
        </w:rPr>
        <w:t>one of the most eff</w:t>
      </w:r>
      <w:r w:rsidR="00241E43" w:rsidRPr="00C0373D">
        <w:rPr>
          <w:rFonts w:ascii="Avenir" w:hAnsi="Avenir" w:cs="Calibri"/>
        </w:rPr>
        <w:t>ective</w:t>
      </w:r>
      <w:r w:rsidR="00D879AD" w:rsidRPr="00C0373D">
        <w:rPr>
          <w:rFonts w:ascii="Avenir" w:hAnsi="Avenir" w:cs="Calibri"/>
        </w:rPr>
        <w:t xml:space="preserve"> ways to reduce </w:t>
      </w:r>
      <w:r w:rsidR="00241E43" w:rsidRPr="00C0373D">
        <w:rPr>
          <w:rFonts w:ascii="Avenir" w:hAnsi="Avenir" w:cs="Calibri"/>
        </w:rPr>
        <w:t xml:space="preserve">the risk of </w:t>
      </w:r>
      <w:r w:rsidR="00D879AD" w:rsidRPr="00C0373D">
        <w:rPr>
          <w:rFonts w:ascii="Avenir" w:hAnsi="Avenir" w:cs="Calibri"/>
        </w:rPr>
        <w:t xml:space="preserve">early marriage and pregnancy. </w:t>
      </w:r>
      <w:r w:rsidR="00241E43" w:rsidRPr="00C0373D">
        <w:rPr>
          <w:rFonts w:ascii="Avenir" w:hAnsi="Avenir" w:cs="Calibri"/>
        </w:rPr>
        <w:t>G</w:t>
      </w:r>
      <w:r w:rsidR="00D879AD" w:rsidRPr="00C0373D">
        <w:rPr>
          <w:rFonts w:ascii="Avenir" w:hAnsi="Avenir" w:cs="Calibri"/>
        </w:rPr>
        <w:t xml:space="preserve">irls will have smaller, healthier and wealthier families later in life than those who do not attend school. However, in 2018 the lower secondary enrolment rate stood at only 26% in rural Tanzania (31% across Tanzania) and </w:t>
      </w:r>
      <w:r w:rsidR="00241E43" w:rsidRPr="00C0373D">
        <w:rPr>
          <w:rFonts w:ascii="Avenir" w:hAnsi="Avenir" w:cs="Calibri"/>
        </w:rPr>
        <w:t xml:space="preserve">the </w:t>
      </w:r>
      <w:r w:rsidR="00D879AD" w:rsidRPr="00C0373D">
        <w:rPr>
          <w:rFonts w:ascii="Avenir" w:hAnsi="Avenir" w:cs="Calibri"/>
        </w:rPr>
        <w:t>upper secondary enrolment at just 6%.</w:t>
      </w:r>
      <w:r w:rsidR="0078487A" w:rsidRPr="00C0373D">
        <w:rPr>
          <w:rStyle w:val="FootnoteReference"/>
          <w:rFonts w:ascii="Avenir" w:hAnsi="Avenir" w:cs="Calibri"/>
        </w:rPr>
        <w:footnoteReference w:id="2"/>
      </w:r>
      <w:r w:rsidR="0078487A" w:rsidRPr="00C0373D">
        <w:rPr>
          <w:rStyle w:val="FootnoteReference"/>
          <w:rFonts w:ascii="Avenir" w:hAnsi="Avenir" w:cs="Calibri"/>
        </w:rPr>
        <w:footnoteReference w:id="3"/>
      </w:r>
      <w:r w:rsidR="0078487A" w:rsidRPr="00C0373D">
        <w:rPr>
          <w:rStyle w:val="FootnoteReference"/>
          <w:rFonts w:ascii="Avenir" w:hAnsi="Avenir" w:cs="Calibri"/>
        </w:rPr>
        <w:footnoteReference w:id="4"/>
      </w:r>
    </w:p>
    <w:p w:rsidR="00867DCD" w:rsidRPr="00C0373D" w:rsidRDefault="00241E43" w:rsidP="00DB0086">
      <w:pPr>
        <w:ind w:left="284"/>
        <w:jc w:val="both"/>
        <w:rPr>
          <w:rFonts w:ascii="Avenir" w:hAnsi="Avenir" w:cs="Calibri"/>
        </w:rPr>
      </w:pPr>
      <w:r w:rsidRPr="00C0373D">
        <w:rPr>
          <w:rFonts w:ascii="Avenir" w:hAnsi="Avenir" w:cs="Calibri"/>
        </w:rPr>
        <w:t xml:space="preserve">The central tenet of our model is to build </w:t>
      </w:r>
      <w:r w:rsidR="00435F87" w:rsidRPr="00C0373D">
        <w:rPr>
          <w:rFonts w:ascii="Avenir" w:hAnsi="Avenir" w:cs="Calibri"/>
        </w:rPr>
        <w:t xml:space="preserve">eco-friendly, innovative low-carbon </w:t>
      </w:r>
      <w:r w:rsidR="003C5B63" w:rsidRPr="00C0373D">
        <w:rPr>
          <w:rFonts w:ascii="Avenir" w:hAnsi="Avenir" w:cs="Calibri"/>
        </w:rPr>
        <w:t xml:space="preserve">hostels for girls in </w:t>
      </w:r>
      <w:r w:rsidR="00435F87" w:rsidRPr="00C0373D">
        <w:rPr>
          <w:rFonts w:ascii="Avenir" w:hAnsi="Avenir" w:cs="Calibri"/>
        </w:rPr>
        <w:t>ward</w:t>
      </w:r>
      <w:r w:rsidR="003C5B63" w:rsidRPr="00C0373D">
        <w:rPr>
          <w:rFonts w:ascii="Avenir" w:hAnsi="Avenir" w:cs="Calibri"/>
        </w:rPr>
        <w:t xml:space="preserve"> secondary schools. These hostels provide girls with a </w:t>
      </w:r>
      <w:proofErr w:type="gramStart"/>
      <w:r w:rsidR="003C5B63" w:rsidRPr="00C0373D">
        <w:rPr>
          <w:rFonts w:ascii="Avenir" w:hAnsi="Avenir" w:cs="Calibri"/>
        </w:rPr>
        <w:t>safe space</w:t>
      </w:r>
      <w:r w:rsidR="006E3F86" w:rsidRPr="00C0373D">
        <w:rPr>
          <w:rFonts w:ascii="Avenir" w:hAnsi="Avenir" w:cs="Calibri"/>
        </w:rPr>
        <w:t>s</w:t>
      </w:r>
      <w:proofErr w:type="gramEnd"/>
      <w:r w:rsidR="003C5B63" w:rsidRPr="00C0373D">
        <w:rPr>
          <w:rFonts w:ascii="Avenir" w:hAnsi="Avenir" w:cs="Calibri"/>
        </w:rPr>
        <w:t xml:space="preserve"> to live and study, giving them an opportunity to complete their studies. </w:t>
      </w:r>
      <w:r w:rsidR="00435F87" w:rsidRPr="00C0373D">
        <w:rPr>
          <w:rFonts w:ascii="Avenir" w:hAnsi="Avenir" w:cs="Calibri"/>
        </w:rPr>
        <w:t xml:space="preserve">Hostels create a haven for girls to thrive, increasing self-confidence and well-being. </w:t>
      </w:r>
      <w:r w:rsidRPr="00C0373D">
        <w:rPr>
          <w:rFonts w:ascii="Avenir" w:hAnsi="Avenir" w:cs="Calibri"/>
        </w:rPr>
        <w:t xml:space="preserve">In 2019, </w:t>
      </w:r>
      <w:r w:rsidR="003C5B63" w:rsidRPr="00C0373D">
        <w:rPr>
          <w:rFonts w:ascii="Avenir" w:hAnsi="Avenir" w:cs="Calibri"/>
        </w:rPr>
        <w:t xml:space="preserve">Lyra had 11 </w:t>
      </w:r>
      <w:r w:rsidRPr="00C0373D">
        <w:rPr>
          <w:rFonts w:ascii="Avenir" w:hAnsi="Avenir" w:cs="Calibri"/>
        </w:rPr>
        <w:t xml:space="preserve">hostels </w:t>
      </w:r>
      <w:r w:rsidR="003C5B63" w:rsidRPr="00C0373D">
        <w:rPr>
          <w:rFonts w:ascii="Avenir" w:hAnsi="Avenir" w:cs="Calibri"/>
        </w:rPr>
        <w:t xml:space="preserve">which were </w:t>
      </w:r>
      <w:r w:rsidRPr="00C0373D">
        <w:rPr>
          <w:rFonts w:ascii="Avenir" w:hAnsi="Avenir" w:cs="Calibri"/>
        </w:rPr>
        <w:t>full or over-capacity</w:t>
      </w:r>
      <w:r w:rsidR="003C5B63" w:rsidRPr="00C0373D">
        <w:rPr>
          <w:rFonts w:ascii="Avenir" w:hAnsi="Avenir" w:cs="Calibri"/>
        </w:rPr>
        <w:t>,</w:t>
      </w:r>
      <w:r w:rsidRPr="00C0373D">
        <w:rPr>
          <w:rFonts w:ascii="Avenir" w:hAnsi="Avenir" w:cs="Calibri"/>
        </w:rPr>
        <w:t xml:space="preserve"> with an average occupancy rate of 140%. Two more hostels are </w:t>
      </w:r>
      <w:r w:rsidR="003C5B63" w:rsidRPr="00C0373D">
        <w:rPr>
          <w:rFonts w:ascii="Avenir" w:hAnsi="Avenir" w:cs="Calibri"/>
        </w:rPr>
        <w:t xml:space="preserve">due to be completed </w:t>
      </w:r>
      <w:r w:rsidRPr="00C0373D">
        <w:rPr>
          <w:rFonts w:ascii="Avenir" w:hAnsi="Avenir" w:cs="Calibri"/>
        </w:rPr>
        <w:t>in 2020.</w:t>
      </w:r>
    </w:p>
    <w:p w:rsidR="00D214F5" w:rsidRPr="00C0373D" w:rsidRDefault="00D214F5" w:rsidP="00DB0086">
      <w:pPr>
        <w:pStyle w:val="ListParagraph"/>
        <w:ind w:left="567" w:right="521"/>
        <w:jc w:val="both"/>
        <w:rPr>
          <w:rFonts w:ascii="Avenir" w:hAnsi="Avenir" w:cs="Calibri"/>
          <w:i/>
        </w:rPr>
      </w:pPr>
      <w:r w:rsidRPr="00C0373D">
        <w:rPr>
          <w:rFonts w:ascii="Avenir" w:hAnsi="Avenir" w:cs="Calibri"/>
          <w:i/>
        </w:rPr>
        <w:t xml:space="preserve">“After school I used to help my mother </w:t>
      </w:r>
      <w:r w:rsidR="00310E1F" w:rsidRPr="00C0373D">
        <w:rPr>
          <w:rFonts w:ascii="Avenir" w:hAnsi="Avenir" w:cs="Calibri"/>
          <w:i/>
        </w:rPr>
        <w:t xml:space="preserve">in </w:t>
      </w:r>
      <w:r w:rsidRPr="00C0373D">
        <w:rPr>
          <w:rFonts w:ascii="Avenir" w:hAnsi="Avenir" w:cs="Calibri"/>
          <w:i/>
        </w:rPr>
        <w:t xml:space="preserve">domestic works, example in our village we have water problem so after coming back from school I had to go far (6kms) fetching water. This made me to miss some school session at evening because I had to help my mother. </w:t>
      </w:r>
    </w:p>
    <w:p w:rsidR="00D214F5" w:rsidRPr="00C0373D" w:rsidRDefault="00D214F5" w:rsidP="00DB0086">
      <w:pPr>
        <w:pStyle w:val="ListParagraph"/>
        <w:ind w:left="567" w:right="521"/>
        <w:jc w:val="both"/>
        <w:rPr>
          <w:rFonts w:ascii="Avenir" w:hAnsi="Avenir" w:cs="Calibri"/>
          <w:i/>
        </w:rPr>
      </w:pPr>
      <w:r w:rsidRPr="00C0373D">
        <w:rPr>
          <w:rFonts w:ascii="Avenir" w:hAnsi="Avenir" w:cs="Calibri"/>
          <w:i/>
        </w:rPr>
        <w:t xml:space="preserve">Now I live in the new hostel at </w:t>
      </w:r>
      <w:proofErr w:type="spellStart"/>
      <w:r w:rsidRPr="00C0373D">
        <w:rPr>
          <w:rFonts w:ascii="Avenir" w:hAnsi="Avenir" w:cs="Calibri"/>
          <w:i/>
        </w:rPr>
        <w:t>Nyangoro</w:t>
      </w:r>
      <w:proofErr w:type="spellEnd"/>
      <w:r w:rsidRPr="00C0373D">
        <w:rPr>
          <w:rFonts w:ascii="Avenir" w:hAnsi="Avenir" w:cs="Calibri"/>
          <w:i/>
        </w:rPr>
        <w:t xml:space="preserve"> I have enough time to study, I’m  not thinking of bad things I was facing on the way to and back to school, also I am not facing </w:t>
      </w:r>
      <w:proofErr w:type="spellStart"/>
      <w:r w:rsidRPr="00C0373D">
        <w:rPr>
          <w:rFonts w:ascii="Avenir" w:hAnsi="Avenir" w:cs="Calibri"/>
          <w:i/>
        </w:rPr>
        <w:t>men</w:t>
      </w:r>
      <w:r w:rsidR="006E3F86" w:rsidRPr="00C0373D">
        <w:rPr>
          <w:rFonts w:ascii="Avenir" w:hAnsi="Avenir" w:cs="Calibri"/>
          <w:i/>
        </w:rPr>
        <w:t>s</w:t>
      </w:r>
      <w:proofErr w:type="spellEnd"/>
      <w:r w:rsidRPr="00C0373D">
        <w:rPr>
          <w:rFonts w:ascii="Avenir" w:hAnsi="Avenir" w:cs="Calibri"/>
          <w:i/>
        </w:rPr>
        <w:t xml:space="preserve"> temptations, I got enough time to discuss with my fellow students what we have learnt at school which I had never done before.</w:t>
      </w:r>
      <w:r w:rsidR="00DB0086" w:rsidRPr="00C0373D">
        <w:rPr>
          <w:rFonts w:ascii="Avenir" w:hAnsi="Avenir" w:cs="Calibri"/>
          <w:i/>
        </w:rPr>
        <w:t xml:space="preserve"> </w:t>
      </w:r>
      <w:r w:rsidRPr="00C0373D">
        <w:rPr>
          <w:rFonts w:ascii="Avenir" w:hAnsi="Avenir" w:cs="Calibri"/>
          <w:i/>
        </w:rPr>
        <w:t>I always advise my fellow students to convince their parents to let them stay in hostel because this is a safe place for us.”</w:t>
      </w:r>
      <w:r w:rsidR="00DB0086" w:rsidRPr="00C0373D">
        <w:rPr>
          <w:rFonts w:ascii="Avenir" w:hAnsi="Avenir" w:cs="Calibri"/>
          <w:i/>
        </w:rPr>
        <w:t xml:space="preserve"> </w:t>
      </w:r>
      <w:r w:rsidRPr="00C0373D">
        <w:rPr>
          <w:rFonts w:ascii="Avenir" w:hAnsi="Avenir" w:cs="Calibri"/>
          <w:i/>
        </w:rPr>
        <w:t xml:space="preserve">Dorine </w:t>
      </w:r>
      <w:proofErr w:type="spellStart"/>
      <w:r w:rsidRPr="00C0373D">
        <w:rPr>
          <w:rFonts w:ascii="Avenir" w:hAnsi="Avenir" w:cs="Calibri"/>
          <w:i/>
        </w:rPr>
        <w:t>Mdeke</w:t>
      </w:r>
      <w:proofErr w:type="spellEnd"/>
      <w:r w:rsidRPr="00C0373D">
        <w:rPr>
          <w:rFonts w:ascii="Avenir" w:hAnsi="Avenir" w:cs="Calibri"/>
          <w:i/>
        </w:rPr>
        <w:t>, aged 13</w:t>
      </w:r>
    </w:p>
    <w:p w:rsidR="00435F87" w:rsidRPr="00C0373D" w:rsidRDefault="00435F87" w:rsidP="00DB0086">
      <w:pPr>
        <w:pStyle w:val="ListParagraph"/>
        <w:ind w:left="284" w:hanging="284"/>
        <w:jc w:val="both"/>
        <w:rPr>
          <w:rFonts w:ascii="Avenir" w:hAnsi="Avenir" w:cs="Calibri"/>
        </w:rPr>
      </w:pPr>
    </w:p>
    <w:p w:rsidR="00867DCD" w:rsidRDefault="00D649C3" w:rsidP="00DB0086">
      <w:pPr>
        <w:pStyle w:val="ListParagraph"/>
        <w:ind w:left="284"/>
        <w:jc w:val="both"/>
        <w:rPr>
          <w:rFonts w:ascii="Avenir" w:hAnsi="Avenir" w:cs="Calibri"/>
        </w:rPr>
      </w:pPr>
      <w:r w:rsidRPr="00C0373D">
        <w:rPr>
          <w:rFonts w:ascii="Avenir" w:hAnsi="Avenir" w:cs="Calibri"/>
        </w:rPr>
        <w:t xml:space="preserve">Engagement with local communities is essential to the success of Lyra hostels. </w:t>
      </w:r>
      <w:r w:rsidR="00241E43" w:rsidRPr="00C0373D">
        <w:rPr>
          <w:rFonts w:ascii="Avenir" w:hAnsi="Avenir" w:cs="Calibri"/>
        </w:rPr>
        <w:t>We e</w:t>
      </w:r>
      <w:r w:rsidRPr="00C0373D">
        <w:rPr>
          <w:rFonts w:ascii="Avenir" w:hAnsi="Avenir" w:cs="Calibri"/>
        </w:rPr>
        <w:t xml:space="preserve">ncourage </w:t>
      </w:r>
      <w:r w:rsidR="00241E43" w:rsidRPr="00C0373D">
        <w:rPr>
          <w:rFonts w:ascii="Avenir" w:hAnsi="Avenir" w:cs="Calibri"/>
        </w:rPr>
        <w:t xml:space="preserve">the community and local government to show commitment before construction starts by </w:t>
      </w:r>
      <w:r w:rsidRPr="00C0373D">
        <w:rPr>
          <w:rFonts w:ascii="Avenir" w:hAnsi="Avenir" w:cs="Calibri"/>
        </w:rPr>
        <w:t>contributing up to 15% per cent of the cost of construction, in cash or in kind</w:t>
      </w:r>
      <w:r w:rsidR="00CD4DC8" w:rsidRPr="00C0373D">
        <w:rPr>
          <w:rFonts w:ascii="Avenir" w:hAnsi="Avenir" w:cs="Calibri"/>
        </w:rPr>
        <w:t>, with cash contribution</w:t>
      </w:r>
      <w:r w:rsidR="00310E1F" w:rsidRPr="00C0373D">
        <w:rPr>
          <w:rFonts w:ascii="Avenir" w:hAnsi="Avenir" w:cs="Calibri"/>
        </w:rPr>
        <w:t xml:space="preserve">s </w:t>
      </w:r>
      <w:r w:rsidR="00CD4DC8" w:rsidRPr="00C0373D">
        <w:rPr>
          <w:rFonts w:ascii="Avenir" w:hAnsi="Avenir" w:cs="Calibri"/>
        </w:rPr>
        <w:t>from the respective District Councils</w:t>
      </w:r>
      <w:r w:rsidRPr="00C0373D">
        <w:rPr>
          <w:rFonts w:ascii="Avenir" w:hAnsi="Avenir" w:cs="Calibri"/>
        </w:rPr>
        <w:t xml:space="preserve">. </w:t>
      </w:r>
    </w:p>
    <w:p w:rsidR="004D5095" w:rsidRDefault="004D5095" w:rsidP="004D5095">
      <w:pPr>
        <w:pStyle w:val="ListParagraph"/>
        <w:keepNext/>
        <w:ind w:left="284"/>
        <w:jc w:val="both"/>
      </w:pPr>
      <w:r>
        <w:rPr>
          <w:rFonts w:ascii="Avenir" w:hAnsi="Avenir" w:cs="Calibri"/>
          <w:noProof/>
          <w:lang w:eastAsia="en-GB"/>
        </w:rPr>
        <w:lastRenderedPageBreak/>
        <w:drawing>
          <wp:inline distT="0" distB="0" distL="0" distR="0">
            <wp:extent cx="5685790" cy="3009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5790" cy="3009265"/>
                    </a:xfrm>
                    <a:prstGeom prst="rect">
                      <a:avLst/>
                    </a:prstGeom>
                    <a:noFill/>
                  </pic:spPr>
                </pic:pic>
              </a:graphicData>
            </a:graphic>
          </wp:inline>
        </w:drawing>
      </w:r>
    </w:p>
    <w:p w:rsidR="004D5095" w:rsidRPr="00C0373D" w:rsidRDefault="00EE36B0" w:rsidP="004D5095">
      <w:pPr>
        <w:pStyle w:val="Caption"/>
        <w:jc w:val="both"/>
        <w:rPr>
          <w:rFonts w:ascii="Avenir" w:hAnsi="Avenir" w:cs="Calibri"/>
        </w:rPr>
      </w:pPr>
      <w:r>
        <w:rPr>
          <w:rFonts w:ascii="Avenir" w:hAnsi="Avenir" w:cs="Calibri"/>
        </w:rPr>
        <w:fldChar w:fldCharType="begin"/>
      </w:r>
      <w:r w:rsidR="004D5095">
        <w:rPr>
          <w:rFonts w:ascii="Avenir" w:hAnsi="Avenir" w:cs="Calibri"/>
        </w:rPr>
        <w:instrText xml:space="preserve"> SEQ Figure \* ARABIC </w:instrText>
      </w:r>
      <w:r>
        <w:rPr>
          <w:rFonts w:ascii="Avenir" w:hAnsi="Avenir" w:cs="Calibri"/>
        </w:rPr>
        <w:fldChar w:fldCharType="separate"/>
      </w:r>
      <w:r w:rsidR="004D5095">
        <w:rPr>
          <w:rFonts w:ascii="Avenir" w:hAnsi="Avenir" w:cs="Calibri"/>
          <w:noProof/>
        </w:rPr>
        <w:t>1</w:t>
      </w:r>
      <w:r>
        <w:rPr>
          <w:rFonts w:ascii="Avenir" w:hAnsi="Avenir" w:cs="Calibri"/>
        </w:rPr>
        <w:fldChar w:fldCharType="end"/>
      </w:r>
      <w:proofErr w:type="spellStart"/>
      <w:r w:rsidR="004D5095">
        <w:t>Mazombe</w:t>
      </w:r>
      <w:proofErr w:type="spellEnd"/>
      <w:r w:rsidR="004D5095">
        <w:t xml:space="preserve"> hostel RH corner</w:t>
      </w:r>
      <w:r w:rsidR="00604630">
        <w:t xml:space="preserve"> traditional government hostel constructed by Lyra 2015</w:t>
      </w:r>
    </w:p>
    <w:p w:rsidR="00A86718" w:rsidRDefault="00A86718" w:rsidP="00DB0086">
      <w:pPr>
        <w:pStyle w:val="ListParagraph"/>
        <w:ind w:left="284" w:hanging="284"/>
        <w:jc w:val="both"/>
        <w:rPr>
          <w:rFonts w:ascii="Avenir" w:hAnsi="Avenir" w:cs="Calibri"/>
        </w:rPr>
      </w:pPr>
    </w:p>
    <w:p w:rsidR="00867DCD" w:rsidRPr="00C0373D" w:rsidRDefault="006E3F86" w:rsidP="00DB0086">
      <w:pPr>
        <w:pStyle w:val="ListParagraph"/>
        <w:numPr>
          <w:ilvl w:val="0"/>
          <w:numId w:val="20"/>
        </w:numPr>
        <w:ind w:left="284" w:hanging="284"/>
        <w:jc w:val="both"/>
        <w:rPr>
          <w:rFonts w:ascii="Avenir" w:hAnsi="Avenir" w:cs="Calibri"/>
          <w:b/>
          <w:bCs/>
          <w:sz w:val="24"/>
          <w:szCs w:val="24"/>
        </w:rPr>
      </w:pPr>
      <w:r w:rsidRPr="00C0373D">
        <w:rPr>
          <w:rFonts w:ascii="Avenir" w:hAnsi="Avenir" w:cs="Calibri"/>
          <w:b/>
          <w:bCs/>
          <w:sz w:val="24"/>
          <w:szCs w:val="24"/>
        </w:rPr>
        <w:t>H</w:t>
      </w:r>
      <w:r w:rsidR="00F22673" w:rsidRPr="00C0373D">
        <w:rPr>
          <w:rFonts w:ascii="Avenir" w:hAnsi="Avenir" w:cs="Calibri"/>
          <w:b/>
          <w:bCs/>
          <w:sz w:val="24"/>
          <w:szCs w:val="24"/>
        </w:rPr>
        <w:t xml:space="preserve">ostels create a </w:t>
      </w:r>
      <w:r w:rsidRPr="00C0373D">
        <w:rPr>
          <w:rFonts w:ascii="Avenir" w:hAnsi="Avenir" w:cs="Calibri"/>
          <w:b/>
          <w:bCs/>
          <w:sz w:val="24"/>
          <w:szCs w:val="24"/>
        </w:rPr>
        <w:t>safe space for girls to thrive</w:t>
      </w:r>
      <w:r w:rsidR="009B6073" w:rsidRPr="00C0373D">
        <w:rPr>
          <w:rFonts w:ascii="Avenir" w:hAnsi="Avenir" w:cs="Calibri"/>
          <w:b/>
          <w:bCs/>
          <w:sz w:val="24"/>
          <w:szCs w:val="24"/>
        </w:rPr>
        <w:t xml:space="preserve"> </w:t>
      </w:r>
    </w:p>
    <w:p w:rsidR="00867DCD" w:rsidRPr="00C0373D" w:rsidRDefault="003D60AB" w:rsidP="00DB0086">
      <w:pPr>
        <w:pStyle w:val="ListParagraph"/>
        <w:ind w:left="284"/>
        <w:jc w:val="both"/>
        <w:rPr>
          <w:rFonts w:ascii="Avenir" w:hAnsi="Avenir" w:cs="Calibri"/>
        </w:rPr>
      </w:pPr>
      <w:r w:rsidRPr="00C0373D">
        <w:rPr>
          <w:rFonts w:ascii="Avenir" w:hAnsi="Avenir" w:cs="Calibri"/>
        </w:rPr>
        <w:t xml:space="preserve">To date Lyra has built 11 hostels with a total capacity for 850 occupants, with a 140% average occupancy rate. Lyra hostels thus provide accommodation for more than 1,000 girls every year. </w:t>
      </w:r>
      <w:r w:rsidR="00123C71" w:rsidRPr="00C0373D">
        <w:rPr>
          <w:rFonts w:ascii="Avenir" w:hAnsi="Avenir" w:cs="Calibri"/>
        </w:rPr>
        <w:t>We have</w:t>
      </w:r>
      <w:r w:rsidR="00F22673" w:rsidRPr="00C0373D">
        <w:rPr>
          <w:rFonts w:ascii="Avenir" w:hAnsi="Avenir" w:cs="Calibri"/>
        </w:rPr>
        <w:t xml:space="preserve"> evidence that Lyra hostels are transforming l</w:t>
      </w:r>
      <w:r w:rsidR="00310E1F" w:rsidRPr="00C0373D">
        <w:rPr>
          <w:rFonts w:ascii="Avenir" w:hAnsi="Avenir" w:cs="Calibri"/>
        </w:rPr>
        <w:t>ives</w:t>
      </w:r>
      <w:r w:rsidR="00F22673" w:rsidRPr="00C0373D">
        <w:rPr>
          <w:rFonts w:ascii="Avenir" w:hAnsi="Avenir" w:cs="Calibri"/>
        </w:rPr>
        <w:t xml:space="preserve"> by enabling more girls to remain at school to complete their secondary education</w:t>
      </w:r>
      <w:r w:rsidR="001A301C" w:rsidRPr="00C0373D">
        <w:rPr>
          <w:rFonts w:ascii="Avenir" w:hAnsi="Avenir" w:cs="Calibri"/>
        </w:rPr>
        <w:t xml:space="preserve">, continuing to learn and to thrive. </w:t>
      </w:r>
    </w:p>
    <w:p w:rsidR="00867DCD" w:rsidRPr="00C0373D" w:rsidRDefault="00F22673" w:rsidP="00DB0086">
      <w:pPr>
        <w:ind w:left="284"/>
        <w:jc w:val="both"/>
        <w:rPr>
          <w:rFonts w:ascii="Avenir" w:hAnsi="Avenir" w:cs="Calibri"/>
        </w:rPr>
      </w:pPr>
      <w:r w:rsidRPr="00C0373D">
        <w:rPr>
          <w:rFonts w:ascii="Avenir" w:hAnsi="Avenir" w:cs="Calibri"/>
          <w:b/>
          <w:bCs/>
        </w:rPr>
        <w:t>Pregnancies:</w:t>
      </w:r>
      <w:r w:rsidRPr="00C0373D">
        <w:rPr>
          <w:rFonts w:ascii="Avenir" w:hAnsi="Avenir" w:cs="Calibri"/>
        </w:rPr>
        <w:t xml:space="preserve"> Since the beginning of the </w:t>
      </w:r>
      <w:r w:rsidR="00942C26" w:rsidRPr="00C0373D">
        <w:rPr>
          <w:rFonts w:ascii="Avenir" w:hAnsi="Avenir" w:cs="Calibri"/>
        </w:rPr>
        <w:t xml:space="preserve">hostel </w:t>
      </w:r>
      <w:r w:rsidRPr="00C0373D">
        <w:rPr>
          <w:rFonts w:ascii="Avenir" w:hAnsi="Avenir" w:cs="Calibri"/>
        </w:rPr>
        <w:t>construction programme</w:t>
      </w:r>
      <w:r w:rsidR="00CE256F" w:rsidRPr="00C0373D">
        <w:rPr>
          <w:rFonts w:ascii="Avenir" w:hAnsi="Avenir" w:cs="Calibri"/>
        </w:rPr>
        <w:t xml:space="preserve"> in 2012</w:t>
      </w:r>
      <w:r w:rsidRPr="00C0373D">
        <w:rPr>
          <w:rFonts w:ascii="Avenir" w:hAnsi="Avenir" w:cs="Calibri"/>
        </w:rPr>
        <w:t xml:space="preserve">, 2,400 girls have lived at our hostels with no reported pregnancies. </w:t>
      </w:r>
      <w:r w:rsidR="001A301C" w:rsidRPr="00C0373D">
        <w:rPr>
          <w:rFonts w:ascii="Avenir" w:hAnsi="Avenir" w:cs="Calibri"/>
        </w:rPr>
        <w:t xml:space="preserve">This compares </w:t>
      </w:r>
      <w:r w:rsidR="004D5095">
        <w:rPr>
          <w:rFonts w:ascii="Avenir" w:hAnsi="Avenir" w:cs="Calibri"/>
        </w:rPr>
        <w:t>with</w:t>
      </w:r>
      <w:r w:rsidR="001A301C" w:rsidRPr="00C0373D">
        <w:rPr>
          <w:rFonts w:ascii="Avenir" w:hAnsi="Avenir" w:cs="Calibri"/>
        </w:rPr>
        <w:t xml:space="preserve"> a total of 118 girls who did not live in hostels who dropped out of seven schools between 201</w:t>
      </w:r>
      <w:r w:rsidR="00560EEA" w:rsidRPr="00C0373D">
        <w:rPr>
          <w:rFonts w:ascii="Avenir" w:hAnsi="Avenir" w:cs="Calibri"/>
        </w:rPr>
        <w:t>2</w:t>
      </w:r>
      <w:r w:rsidR="001A301C" w:rsidRPr="00C0373D">
        <w:rPr>
          <w:rFonts w:ascii="Avenir" w:hAnsi="Avenir" w:cs="Calibri"/>
        </w:rPr>
        <w:t xml:space="preserve"> and 2019 after becoming pregnant. This is an official number</w:t>
      </w:r>
      <w:r w:rsidR="00310E1F" w:rsidRPr="00C0373D">
        <w:rPr>
          <w:rFonts w:ascii="Avenir" w:hAnsi="Avenir" w:cs="Calibri"/>
        </w:rPr>
        <w:t>,</w:t>
      </w:r>
      <w:r w:rsidR="001A301C" w:rsidRPr="00C0373D">
        <w:rPr>
          <w:rFonts w:ascii="Avenir" w:hAnsi="Avenir" w:cs="Calibri"/>
        </w:rPr>
        <w:t xml:space="preserve"> but we believe the true number to be much higher</w:t>
      </w:r>
      <w:r w:rsidR="006E22EE" w:rsidRPr="00C0373D">
        <w:rPr>
          <w:rFonts w:ascii="Avenir" w:hAnsi="Avenir" w:cs="Calibri"/>
        </w:rPr>
        <w:t xml:space="preserve"> as many pregnancies are registered simply as </w:t>
      </w:r>
      <w:proofErr w:type="gramStart"/>
      <w:r w:rsidR="006E22EE" w:rsidRPr="00C0373D">
        <w:rPr>
          <w:rFonts w:ascii="Avenir" w:hAnsi="Avenir" w:cs="Calibri"/>
        </w:rPr>
        <w:t>drop-outs</w:t>
      </w:r>
      <w:proofErr w:type="gramEnd"/>
      <w:r w:rsidR="001A301C" w:rsidRPr="00C0373D">
        <w:rPr>
          <w:rFonts w:ascii="Avenir" w:hAnsi="Avenir" w:cs="Calibri"/>
        </w:rPr>
        <w:t xml:space="preserve">. </w:t>
      </w:r>
    </w:p>
    <w:p w:rsidR="00867DCD" w:rsidRPr="00C0373D" w:rsidRDefault="001A301C" w:rsidP="00DB0086">
      <w:pPr>
        <w:ind w:left="284"/>
        <w:jc w:val="both"/>
        <w:rPr>
          <w:rFonts w:ascii="Avenir" w:hAnsi="Avenir" w:cs="Calibri"/>
        </w:rPr>
      </w:pPr>
      <w:r w:rsidRPr="00C0373D">
        <w:rPr>
          <w:rFonts w:ascii="Avenir" w:hAnsi="Avenir" w:cs="Calibri"/>
          <w:b/>
          <w:bCs/>
        </w:rPr>
        <w:t>Drop-outs from hostels</w:t>
      </w:r>
      <w:r w:rsidRPr="00C0373D">
        <w:rPr>
          <w:rFonts w:ascii="Avenir" w:hAnsi="Avenir" w:cs="Calibri"/>
        </w:rPr>
        <w:t xml:space="preserve">: </w:t>
      </w:r>
      <w:r w:rsidR="006E22EE" w:rsidRPr="00C0373D">
        <w:rPr>
          <w:rFonts w:ascii="Avenir" w:hAnsi="Avenir" w:cs="Calibri"/>
        </w:rPr>
        <w:t>Lyra’s evidence shows that hostels are contributing to lowering overall student drop</w:t>
      </w:r>
      <w:r w:rsidR="0046445D" w:rsidRPr="00C0373D">
        <w:rPr>
          <w:rFonts w:ascii="Avenir" w:hAnsi="Avenir" w:cs="Calibri"/>
        </w:rPr>
        <w:t>-</w:t>
      </w:r>
      <w:r w:rsidR="006E22EE" w:rsidRPr="00C0373D">
        <w:rPr>
          <w:rFonts w:ascii="Avenir" w:hAnsi="Avenir" w:cs="Calibri"/>
        </w:rPr>
        <w:t xml:space="preserve">out rates within our schools, with just one hostel girl dropping out of secondary school to date, compared to a total of 787 students between 2014 and 2019 across </w:t>
      </w:r>
      <w:r w:rsidR="0046445D" w:rsidRPr="00C0373D">
        <w:rPr>
          <w:rFonts w:ascii="Avenir" w:hAnsi="Avenir" w:cs="Calibri"/>
        </w:rPr>
        <w:t xml:space="preserve">seven </w:t>
      </w:r>
      <w:r w:rsidR="006E22EE" w:rsidRPr="00C0373D">
        <w:rPr>
          <w:rFonts w:ascii="Avenir" w:hAnsi="Avenir" w:cs="Calibri"/>
        </w:rPr>
        <w:t>partner schools. This is a strong indicator demonstrating just how critical</w:t>
      </w:r>
      <w:r w:rsidR="00F6773C" w:rsidRPr="00C0373D">
        <w:rPr>
          <w:rFonts w:ascii="Avenir" w:hAnsi="Avenir" w:cs="Calibri"/>
        </w:rPr>
        <w:t xml:space="preserve"> </w:t>
      </w:r>
      <w:r w:rsidR="006E22EE" w:rsidRPr="00C0373D">
        <w:rPr>
          <w:rFonts w:ascii="Avenir" w:hAnsi="Avenir" w:cs="Calibri"/>
        </w:rPr>
        <w:t xml:space="preserve">hostels have been in keeping girls safe and enabling them to continue to learn and thrive.   </w:t>
      </w:r>
    </w:p>
    <w:p w:rsidR="00867DCD" w:rsidRPr="00C0373D" w:rsidRDefault="001A301C" w:rsidP="000F586F">
      <w:pPr>
        <w:ind w:left="284"/>
        <w:jc w:val="both"/>
        <w:rPr>
          <w:rFonts w:ascii="Avenir" w:hAnsi="Avenir" w:cs="Calibri"/>
        </w:rPr>
      </w:pPr>
      <w:r w:rsidRPr="00C0373D">
        <w:rPr>
          <w:rFonts w:ascii="Avenir" w:hAnsi="Avenir" w:cs="Calibri"/>
          <w:b/>
          <w:bCs/>
        </w:rPr>
        <w:t xml:space="preserve">Academic achievement: </w:t>
      </w:r>
      <w:r w:rsidRPr="00C0373D">
        <w:rPr>
          <w:rFonts w:ascii="Avenir" w:hAnsi="Avenir" w:cs="Calibri"/>
        </w:rPr>
        <w:t>Lyra hostels give girls a safe space to live</w:t>
      </w:r>
      <w:r w:rsidR="006E22EE" w:rsidRPr="00C0373D">
        <w:rPr>
          <w:rFonts w:ascii="Avenir" w:hAnsi="Avenir" w:cs="Calibri"/>
        </w:rPr>
        <w:t>,</w:t>
      </w:r>
      <w:r w:rsidRPr="00C0373D">
        <w:rPr>
          <w:rFonts w:ascii="Avenir" w:hAnsi="Avenir" w:cs="Calibri"/>
        </w:rPr>
        <w:t xml:space="preserve"> but also time to study after school and at the weekends. This translates into higher academic achievements for girls living in the hostels. </w:t>
      </w:r>
    </w:p>
    <w:p w:rsidR="00867DCD" w:rsidRPr="00C0373D" w:rsidRDefault="00C07C87" w:rsidP="000F586F">
      <w:pPr>
        <w:ind w:left="284"/>
        <w:jc w:val="both"/>
        <w:rPr>
          <w:rFonts w:ascii="Avenir" w:hAnsi="Avenir" w:cs="Calibri"/>
        </w:rPr>
      </w:pPr>
      <w:r w:rsidRPr="00C0373D">
        <w:rPr>
          <w:rFonts w:ascii="Avenir" w:hAnsi="Avenir" w:cs="Calibri"/>
        </w:rPr>
        <w:t xml:space="preserve">Our data </w:t>
      </w:r>
      <w:r w:rsidR="0031042E" w:rsidRPr="00C0373D">
        <w:rPr>
          <w:rFonts w:ascii="Avenir" w:hAnsi="Avenir" w:cs="Calibri"/>
        </w:rPr>
        <w:t>from</w:t>
      </w:r>
      <w:r w:rsidRPr="00C0373D">
        <w:rPr>
          <w:rFonts w:ascii="Avenir" w:hAnsi="Avenir" w:cs="Calibri"/>
        </w:rPr>
        <w:t xml:space="preserve"> five </w:t>
      </w:r>
      <w:r w:rsidR="00560EEA" w:rsidRPr="00C0373D">
        <w:rPr>
          <w:rFonts w:ascii="Avenir" w:hAnsi="Avenir" w:cs="Calibri"/>
        </w:rPr>
        <w:t xml:space="preserve">partner </w:t>
      </w:r>
      <w:r w:rsidRPr="00C0373D">
        <w:rPr>
          <w:rFonts w:ascii="Avenir" w:hAnsi="Avenir" w:cs="Calibri"/>
        </w:rPr>
        <w:t>schools</w:t>
      </w:r>
      <w:r w:rsidR="0031042E" w:rsidRPr="00C0373D">
        <w:rPr>
          <w:rStyle w:val="FootnoteReference"/>
          <w:rFonts w:ascii="Avenir" w:hAnsi="Avenir" w:cs="Calibri"/>
        </w:rPr>
        <w:footnoteReference w:id="5"/>
      </w:r>
      <w:r w:rsidRPr="00C0373D">
        <w:rPr>
          <w:rFonts w:ascii="Avenir" w:hAnsi="Avenir" w:cs="Calibri"/>
        </w:rPr>
        <w:t xml:space="preserve"> shows that </w:t>
      </w:r>
      <w:r w:rsidR="00560EEA" w:rsidRPr="00C0373D">
        <w:rPr>
          <w:rFonts w:ascii="Avenir" w:hAnsi="Avenir" w:cs="Calibri"/>
        </w:rPr>
        <w:t xml:space="preserve">of the </w:t>
      </w:r>
      <w:r w:rsidRPr="00C0373D">
        <w:rPr>
          <w:rFonts w:ascii="Avenir" w:hAnsi="Avenir" w:cs="Calibri"/>
        </w:rPr>
        <w:t xml:space="preserve">950 girls </w:t>
      </w:r>
      <w:r w:rsidR="00942C26" w:rsidRPr="00C0373D">
        <w:rPr>
          <w:rFonts w:ascii="Avenir" w:hAnsi="Avenir" w:cs="Calibri"/>
        </w:rPr>
        <w:t xml:space="preserve">that </w:t>
      </w:r>
      <w:r w:rsidRPr="00C0373D">
        <w:rPr>
          <w:rFonts w:ascii="Avenir" w:hAnsi="Avenir" w:cs="Calibri"/>
        </w:rPr>
        <w:t xml:space="preserve">sat the IV exam between 2016 and 2019: </w:t>
      </w:r>
    </w:p>
    <w:p w:rsidR="00867DCD" w:rsidRPr="00C0373D" w:rsidRDefault="00C07C87" w:rsidP="000F586F">
      <w:pPr>
        <w:pStyle w:val="ListParagraph"/>
        <w:numPr>
          <w:ilvl w:val="0"/>
          <w:numId w:val="3"/>
        </w:numPr>
        <w:ind w:left="1134" w:hanging="567"/>
        <w:jc w:val="both"/>
        <w:rPr>
          <w:rFonts w:ascii="Avenir" w:hAnsi="Avenir" w:cs="Calibri"/>
        </w:rPr>
      </w:pPr>
      <w:r w:rsidRPr="00C0373D">
        <w:rPr>
          <w:rFonts w:ascii="Avenir" w:eastAsia="Times New Roman" w:hAnsi="Avenir" w:cs="Times New Roman"/>
          <w:color w:val="000000" w:themeColor="text1"/>
          <w:lang w:eastAsia="en-GB"/>
        </w:rPr>
        <w:t xml:space="preserve">79 hostel girls (8.3%) were in the top performance category, compared to 23 </w:t>
      </w:r>
      <w:r w:rsidR="00942C26" w:rsidRPr="00C0373D">
        <w:rPr>
          <w:rFonts w:ascii="Avenir" w:eastAsia="Times New Roman" w:hAnsi="Avenir" w:cs="Times New Roman"/>
          <w:color w:val="000000" w:themeColor="text1"/>
          <w:lang w:eastAsia="en-GB"/>
        </w:rPr>
        <w:t>non-hostel</w:t>
      </w:r>
      <w:r w:rsidRPr="00C0373D">
        <w:rPr>
          <w:rFonts w:ascii="Avenir" w:eastAsia="Times New Roman" w:hAnsi="Avenir" w:cs="Times New Roman"/>
          <w:color w:val="000000" w:themeColor="text1"/>
          <w:lang w:eastAsia="en-GB"/>
        </w:rPr>
        <w:t xml:space="preserve"> girls (2.4%)</w:t>
      </w:r>
    </w:p>
    <w:p w:rsidR="00867DCD" w:rsidRPr="00C0373D" w:rsidRDefault="00C07C87" w:rsidP="000F586F">
      <w:pPr>
        <w:pStyle w:val="ListParagraph"/>
        <w:numPr>
          <w:ilvl w:val="0"/>
          <w:numId w:val="3"/>
        </w:numPr>
        <w:ind w:left="1134" w:hanging="567"/>
        <w:jc w:val="both"/>
        <w:rPr>
          <w:rFonts w:ascii="Avenir" w:hAnsi="Avenir" w:cs="Calibri"/>
        </w:rPr>
      </w:pPr>
      <w:r w:rsidRPr="00C0373D">
        <w:rPr>
          <w:rFonts w:ascii="Avenir" w:eastAsia="Times New Roman" w:hAnsi="Avenir" w:cs="Times New Roman"/>
          <w:color w:val="000000" w:themeColor="text1"/>
          <w:lang w:eastAsia="en-GB"/>
        </w:rPr>
        <w:t>356 hostel girls (37.5%) were in the pas</w:t>
      </w:r>
      <w:r w:rsidR="004D5095">
        <w:rPr>
          <w:rFonts w:ascii="Avenir" w:eastAsia="Times New Roman" w:hAnsi="Avenir" w:cs="Times New Roman"/>
          <w:color w:val="000000" w:themeColor="text1"/>
          <w:lang w:eastAsia="en-GB"/>
        </w:rPr>
        <w:t>s category, compared to 307 non-</w:t>
      </w:r>
      <w:r w:rsidRPr="00C0373D">
        <w:rPr>
          <w:rFonts w:ascii="Avenir" w:eastAsia="Times New Roman" w:hAnsi="Avenir" w:cs="Times New Roman"/>
          <w:color w:val="000000" w:themeColor="text1"/>
          <w:lang w:eastAsia="en-GB"/>
        </w:rPr>
        <w:t>hostel girls (32.3%)</w:t>
      </w:r>
    </w:p>
    <w:p w:rsidR="00867DCD" w:rsidRPr="00C0373D" w:rsidRDefault="00C07C87" w:rsidP="000F586F">
      <w:pPr>
        <w:pStyle w:val="ListParagraph"/>
        <w:numPr>
          <w:ilvl w:val="0"/>
          <w:numId w:val="3"/>
        </w:numPr>
        <w:ind w:left="1134" w:hanging="567"/>
        <w:jc w:val="both"/>
        <w:rPr>
          <w:rFonts w:ascii="Avenir" w:hAnsi="Avenir" w:cs="Calibri"/>
        </w:rPr>
      </w:pPr>
      <w:r w:rsidRPr="00C0373D">
        <w:rPr>
          <w:rFonts w:ascii="Avenir" w:eastAsia="Times New Roman" w:hAnsi="Avenir" w:cs="Times New Roman"/>
          <w:color w:val="000000" w:themeColor="text1"/>
          <w:lang w:eastAsia="en-GB"/>
        </w:rPr>
        <w:t>76 hostel girls (8%) di</w:t>
      </w:r>
      <w:r w:rsidR="004D5095">
        <w:rPr>
          <w:rFonts w:ascii="Avenir" w:eastAsia="Times New Roman" w:hAnsi="Avenir" w:cs="Times New Roman"/>
          <w:color w:val="000000" w:themeColor="text1"/>
          <w:lang w:eastAsia="en-GB"/>
        </w:rPr>
        <w:t>d not pass, compared to 109 non-</w:t>
      </w:r>
      <w:r w:rsidRPr="00C0373D">
        <w:rPr>
          <w:rFonts w:ascii="Avenir" w:eastAsia="Times New Roman" w:hAnsi="Avenir" w:cs="Times New Roman"/>
          <w:color w:val="000000" w:themeColor="text1"/>
          <w:lang w:eastAsia="en-GB"/>
        </w:rPr>
        <w:t>hostel girls who did not pass (11.5%)</w:t>
      </w:r>
    </w:p>
    <w:p w:rsidR="00E51AF2" w:rsidRPr="00C0373D" w:rsidRDefault="00E51AF2" w:rsidP="00E51AF2">
      <w:pPr>
        <w:pStyle w:val="ListParagraph"/>
        <w:ind w:left="1134"/>
        <w:jc w:val="both"/>
        <w:rPr>
          <w:rFonts w:ascii="Avenir" w:hAnsi="Avenir" w:cs="Calibri"/>
        </w:rPr>
      </w:pPr>
    </w:p>
    <w:p w:rsidR="00E51AF2" w:rsidRDefault="006076E6" w:rsidP="004D5095">
      <w:pPr>
        <w:pStyle w:val="ListParagraph"/>
        <w:ind w:left="284"/>
        <w:jc w:val="both"/>
        <w:rPr>
          <w:rFonts w:ascii="Avenir" w:eastAsia="Times New Roman" w:hAnsi="Avenir" w:cs="Calibri"/>
          <w:bCs/>
          <w:lang w:eastAsia="en-GB"/>
        </w:rPr>
      </w:pPr>
      <w:r w:rsidRPr="00C0373D">
        <w:rPr>
          <w:rFonts w:ascii="Avenir" w:eastAsia="Times New Roman" w:hAnsi="Avenir" w:cs="Calibri"/>
          <w:b/>
          <w:lang w:eastAsia="en-GB"/>
        </w:rPr>
        <w:lastRenderedPageBreak/>
        <w:t>Top performing students:</w:t>
      </w:r>
      <w:r w:rsidRPr="00C0373D">
        <w:rPr>
          <w:rFonts w:ascii="Avenir" w:eastAsia="Times New Roman" w:hAnsi="Avenir" w:cs="Calibri"/>
          <w:bCs/>
          <w:lang w:eastAsia="en-GB"/>
        </w:rPr>
        <w:t xml:space="preserve"> </w:t>
      </w:r>
      <w:r w:rsidR="00DC1797" w:rsidRPr="00C0373D">
        <w:rPr>
          <w:rFonts w:ascii="Avenir" w:eastAsia="Times New Roman" w:hAnsi="Avenir" w:cs="Calibri"/>
          <w:bCs/>
          <w:lang w:eastAsia="en-GB"/>
        </w:rPr>
        <w:t xml:space="preserve">Overall, across </w:t>
      </w:r>
      <w:r w:rsidR="006E22EE" w:rsidRPr="00C0373D">
        <w:rPr>
          <w:rFonts w:ascii="Avenir" w:eastAsia="Times New Roman" w:hAnsi="Avenir" w:cs="Calibri"/>
          <w:bCs/>
          <w:lang w:eastAsia="en-GB"/>
        </w:rPr>
        <w:t xml:space="preserve">these </w:t>
      </w:r>
      <w:r w:rsidR="006E3F86" w:rsidRPr="00C0373D">
        <w:rPr>
          <w:rFonts w:ascii="Avenir" w:eastAsia="Times New Roman" w:hAnsi="Avenir" w:cs="Calibri"/>
          <w:bCs/>
          <w:lang w:eastAsia="en-GB"/>
        </w:rPr>
        <w:t>same</w:t>
      </w:r>
      <w:r w:rsidR="00DC1797" w:rsidRPr="00C0373D">
        <w:rPr>
          <w:rFonts w:ascii="Avenir" w:eastAsia="Times New Roman" w:hAnsi="Avenir" w:cs="Calibri"/>
          <w:bCs/>
          <w:lang w:eastAsia="en-GB"/>
        </w:rPr>
        <w:t xml:space="preserve"> schools the number of hostel girls in the top performer category is significantly higher than girls who did not live in hostels. During the four years and across all schools, there are significantly more hostel girls in the top performer category than non-hostel girls. This is a near consistent trend for the four years of data.</w:t>
      </w:r>
    </w:p>
    <w:p w:rsidR="004D5095" w:rsidRPr="00C0373D" w:rsidRDefault="004D5095" w:rsidP="004D5095">
      <w:pPr>
        <w:pStyle w:val="ListParagraph"/>
        <w:ind w:left="284"/>
        <w:jc w:val="both"/>
        <w:rPr>
          <w:rFonts w:ascii="Avenir" w:hAnsi="Avenir" w:cs="Calibri"/>
          <w:b/>
          <w:bCs/>
          <w:sz w:val="24"/>
          <w:szCs w:val="24"/>
        </w:rPr>
      </w:pPr>
    </w:p>
    <w:p w:rsidR="004D5095" w:rsidRPr="004D5095" w:rsidRDefault="00DC1797" w:rsidP="00E51AF2">
      <w:pPr>
        <w:pStyle w:val="ListParagraph"/>
        <w:ind w:left="284"/>
        <w:jc w:val="both"/>
        <w:rPr>
          <w:rFonts w:ascii="Avenir" w:hAnsi="Avenir" w:cs="Calibri"/>
          <w:bCs/>
        </w:rPr>
      </w:pPr>
      <w:r w:rsidRPr="004D5095">
        <w:rPr>
          <w:rFonts w:ascii="Avenir" w:hAnsi="Avenir" w:cs="Calibri"/>
          <w:bCs/>
        </w:rPr>
        <w:t xml:space="preserve">Graph 1.1 </w:t>
      </w:r>
    </w:p>
    <w:p w:rsidR="00867DCD" w:rsidRPr="004D5095" w:rsidRDefault="00DC1797" w:rsidP="00E51AF2">
      <w:pPr>
        <w:pStyle w:val="ListParagraph"/>
        <w:ind w:left="284"/>
        <w:jc w:val="both"/>
        <w:rPr>
          <w:rFonts w:ascii="Avenir" w:hAnsi="Avenir" w:cs="Calibri"/>
          <w:bCs/>
          <w:sz w:val="24"/>
          <w:szCs w:val="24"/>
        </w:rPr>
      </w:pPr>
      <w:r w:rsidRPr="004D5095">
        <w:rPr>
          <w:rFonts w:ascii="Avenir" w:eastAsia="Times New Roman" w:hAnsi="Avenir" w:cs="Calibri"/>
          <w:bCs/>
          <w:lang w:eastAsia="en-GB"/>
        </w:rPr>
        <w:t>Top performers: Total number of hostel girls versus non-hostel girls who achieved Grade I-III between 2016-2019.</w:t>
      </w:r>
      <w:r w:rsidRPr="004D5095">
        <w:rPr>
          <w:rFonts w:ascii="Avenir" w:eastAsia="Times New Roman" w:hAnsi="Avenir" w:cs="Calibri"/>
          <w:bCs/>
          <w:sz w:val="24"/>
          <w:szCs w:val="24"/>
          <w:lang w:eastAsia="en-GB"/>
        </w:rPr>
        <w:t xml:space="preserve"> </w:t>
      </w:r>
    </w:p>
    <w:p w:rsidR="000F586F" w:rsidRPr="00C0373D" w:rsidRDefault="000F586F" w:rsidP="000F586F">
      <w:pPr>
        <w:jc w:val="center"/>
        <w:rPr>
          <w:rFonts w:ascii="Avenir" w:hAnsi="Avenir" w:cs="Calibri"/>
          <w:sz w:val="24"/>
          <w:szCs w:val="24"/>
        </w:rPr>
      </w:pPr>
      <w:r w:rsidRPr="00C0373D">
        <w:rPr>
          <w:rFonts w:ascii="Avenir" w:hAnsi="Avenir" w:cs="Calibri"/>
          <w:noProof/>
          <w:sz w:val="24"/>
          <w:szCs w:val="24"/>
          <w:lang w:eastAsia="en-GB"/>
        </w:rPr>
        <w:drawing>
          <wp:inline distT="0" distB="0" distL="0" distR="0">
            <wp:extent cx="3717420" cy="18800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720044" cy="1881402"/>
                    </a:xfrm>
                    <a:prstGeom prst="rect">
                      <a:avLst/>
                    </a:prstGeom>
                  </pic:spPr>
                </pic:pic>
              </a:graphicData>
            </a:graphic>
          </wp:inline>
        </w:drawing>
      </w:r>
    </w:p>
    <w:p w:rsidR="00DC1797" w:rsidRPr="00C0373D" w:rsidRDefault="00DC1797" w:rsidP="00702553">
      <w:pPr>
        <w:spacing w:after="200" w:line="276" w:lineRule="auto"/>
        <w:ind w:left="284" w:right="95"/>
        <w:jc w:val="both"/>
        <w:rPr>
          <w:rFonts w:ascii="Avenir" w:eastAsia="Times New Roman" w:hAnsi="Avenir" w:cs="Calibri"/>
          <w:b/>
          <w:bCs/>
          <w:lang w:eastAsia="en-GB"/>
        </w:rPr>
      </w:pPr>
      <w:r w:rsidRPr="00C0373D">
        <w:rPr>
          <w:rFonts w:ascii="Avenir" w:eastAsia="Times New Roman" w:hAnsi="Avenir" w:cs="Calibri"/>
          <w:bCs/>
          <w:lang w:eastAsia="en-GB"/>
        </w:rPr>
        <w:t>Three schools (</w:t>
      </w:r>
      <w:proofErr w:type="spellStart"/>
      <w:r w:rsidRPr="00C0373D">
        <w:rPr>
          <w:rFonts w:ascii="Avenir" w:eastAsia="Times New Roman" w:hAnsi="Avenir" w:cs="Calibri"/>
          <w:bCs/>
          <w:lang w:eastAsia="en-GB"/>
        </w:rPr>
        <w:t>Madege</w:t>
      </w:r>
      <w:proofErr w:type="spellEnd"/>
      <w:r w:rsidRPr="00C0373D">
        <w:rPr>
          <w:rFonts w:ascii="Avenir" w:eastAsia="Times New Roman" w:hAnsi="Avenir" w:cs="Calibri"/>
          <w:bCs/>
          <w:lang w:eastAsia="en-GB"/>
        </w:rPr>
        <w:t xml:space="preserve">, </w:t>
      </w:r>
      <w:proofErr w:type="spellStart"/>
      <w:r w:rsidRPr="00C0373D">
        <w:rPr>
          <w:rFonts w:ascii="Avenir" w:eastAsia="Times New Roman" w:hAnsi="Avenir" w:cs="Calibri"/>
          <w:bCs/>
          <w:lang w:eastAsia="en-GB"/>
        </w:rPr>
        <w:t>Lundamatwe</w:t>
      </w:r>
      <w:proofErr w:type="spellEnd"/>
      <w:r w:rsidRPr="00C0373D">
        <w:rPr>
          <w:rFonts w:ascii="Avenir" w:eastAsia="Times New Roman" w:hAnsi="Avenir" w:cs="Calibri"/>
          <w:bCs/>
          <w:lang w:eastAsia="en-GB"/>
        </w:rPr>
        <w:t xml:space="preserve"> and </w:t>
      </w:r>
      <w:proofErr w:type="spellStart"/>
      <w:r w:rsidRPr="00C0373D">
        <w:rPr>
          <w:rFonts w:ascii="Avenir" w:eastAsia="Times New Roman" w:hAnsi="Avenir" w:cs="Calibri"/>
          <w:bCs/>
          <w:lang w:eastAsia="en-GB"/>
        </w:rPr>
        <w:t>Lulanzi</w:t>
      </w:r>
      <w:proofErr w:type="spellEnd"/>
      <w:r w:rsidRPr="00C0373D">
        <w:rPr>
          <w:rFonts w:ascii="Avenir" w:eastAsia="Times New Roman" w:hAnsi="Avenir" w:cs="Calibri"/>
          <w:bCs/>
          <w:lang w:eastAsia="en-GB"/>
        </w:rPr>
        <w:t xml:space="preserve">) show a trend where the numbers of hostel girls in the top performing category is increasing </w:t>
      </w:r>
      <w:r w:rsidR="006076E6" w:rsidRPr="00C0373D">
        <w:rPr>
          <w:rFonts w:ascii="Avenir" w:eastAsia="Times New Roman" w:hAnsi="Avenir" w:cs="Calibri"/>
          <w:bCs/>
          <w:lang w:eastAsia="en-GB"/>
        </w:rPr>
        <w:t xml:space="preserve">year-on-year over the four years. </w:t>
      </w:r>
      <w:r w:rsidRPr="00C0373D">
        <w:rPr>
          <w:rFonts w:ascii="Avenir" w:eastAsia="Times New Roman" w:hAnsi="Avenir" w:cs="Calibri"/>
          <w:bCs/>
          <w:lang w:eastAsia="en-GB"/>
        </w:rPr>
        <w:t>This trend</w:t>
      </w:r>
      <w:r w:rsidR="006076E6" w:rsidRPr="00C0373D">
        <w:rPr>
          <w:rFonts w:ascii="Avenir" w:eastAsia="Times New Roman" w:hAnsi="Avenir" w:cs="Calibri"/>
          <w:bCs/>
          <w:lang w:eastAsia="en-GB"/>
        </w:rPr>
        <w:t xml:space="preserve"> </w:t>
      </w:r>
      <w:r w:rsidRPr="00C0373D">
        <w:rPr>
          <w:rFonts w:ascii="Avenir" w:eastAsia="Times New Roman" w:hAnsi="Avenir" w:cs="Calibri"/>
          <w:bCs/>
          <w:lang w:eastAsia="en-GB"/>
        </w:rPr>
        <w:t>is not evident in the cohort of non-hostel girls.</w:t>
      </w:r>
      <w:r w:rsidRPr="00C0373D">
        <w:rPr>
          <w:rFonts w:ascii="Avenir" w:eastAsia="Times New Roman" w:hAnsi="Avenir" w:cs="Calibri"/>
          <w:b/>
          <w:bCs/>
          <w:lang w:eastAsia="en-GB"/>
        </w:rPr>
        <w:t xml:space="preserve"> </w:t>
      </w:r>
    </w:p>
    <w:p w:rsidR="004D5095" w:rsidRDefault="006076E6" w:rsidP="006C7AE6">
      <w:pPr>
        <w:pStyle w:val="ListParagraph"/>
        <w:spacing w:after="200" w:line="276" w:lineRule="auto"/>
        <w:ind w:left="284" w:right="95"/>
        <w:jc w:val="both"/>
        <w:rPr>
          <w:rFonts w:ascii="Avenir" w:eastAsia="Times New Roman" w:hAnsi="Avenir" w:cs="Calibri"/>
          <w:bCs/>
          <w:lang w:eastAsia="en-GB"/>
        </w:rPr>
      </w:pPr>
      <w:r w:rsidRPr="00C0373D">
        <w:rPr>
          <w:rFonts w:ascii="Avenir" w:eastAsia="Times New Roman" w:hAnsi="Avenir" w:cs="Calibri"/>
          <w:b/>
          <w:lang w:eastAsia="en-GB"/>
        </w:rPr>
        <w:t xml:space="preserve">Failing students: </w:t>
      </w:r>
      <w:r w:rsidRPr="00C0373D">
        <w:rPr>
          <w:rFonts w:ascii="Avenir" w:eastAsia="Times New Roman" w:hAnsi="Avenir" w:cs="Calibri"/>
          <w:bCs/>
          <w:lang w:eastAsia="en-GB"/>
        </w:rPr>
        <w:t xml:space="preserve">Overall, across </w:t>
      </w:r>
      <w:r w:rsidRPr="00C0373D">
        <w:rPr>
          <w:rFonts w:ascii="Avenir" w:eastAsia="Times New Roman" w:hAnsi="Avenir" w:cs="Calibri"/>
          <w:b/>
          <w:bCs/>
          <w:iCs/>
          <w:lang w:eastAsia="en-GB"/>
        </w:rPr>
        <w:t>all 5 schools</w:t>
      </w:r>
      <w:r w:rsidRPr="00C0373D">
        <w:rPr>
          <w:rFonts w:ascii="Avenir" w:eastAsia="Times New Roman" w:hAnsi="Avenir" w:cs="Calibri"/>
          <w:b/>
          <w:bCs/>
          <w:i/>
          <w:lang w:eastAsia="en-GB"/>
        </w:rPr>
        <w:t xml:space="preserve">, </w:t>
      </w:r>
      <w:r w:rsidRPr="00C0373D">
        <w:rPr>
          <w:rFonts w:ascii="Avenir" w:eastAsia="Times New Roman" w:hAnsi="Avenir" w:cs="Calibri"/>
          <w:bCs/>
          <w:lang w:eastAsia="en-GB"/>
        </w:rPr>
        <w:t xml:space="preserve">the number of hostel girls who have failed is consistently, and strikingly lower than non-hostel girls. </w:t>
      </w:r>
    </w:p>
    <w:p w:rsidR="004D5095" w:rsidRDefault="004D5095" w:rsidP="006C7AE6">
      <w:pPr>
        <w:pStyle w:val="ListParagraph"/>
        <w:spacing w:after="200" w:line="276" w:lineRule="auto"/>
        <w:ind w:left="284" w:right="95"/>
        <w:jc w:val="both"/>
        <w:rPr>
          <w:rFonts w:ascii="Avenir" w:eastAsia="Times New Roman" w:hAnsi="Avenir" w:cs="Calibri"/>
          <w:bCs/>
          <w:lang w:eastAsia="en-GB"/>
        </w:rPr>
      </w:pPr>
    </w:p>
    <w:p w:rsidR="004D5095" w:rsidRDefault="006C7AE6" w:rsidP="006C7AE6">
      <w:pPr>
        <w:pStyle w:val="ListParagraph"/>
        <w:spacing w:after="200" w:line="276" w:lineRule="auto"/>
        <w:ind w:left="284" w:right="95"/>
        <w:jc w:val="both"/>
        <w:rPr>
          <w:rFonts w:ascii="Avenir" w:eastAsia="Times New Roman" w:hAnsi="Avenir" w:cs="Calibri"/>
          <w:bCs/>
          <w:lang w:eastAsia="en-GB"/>
        </w:rPr>
      </w:pPr>
      <w:r w:rsidRPr="00C0373D">
        <w:rPr>
          <w:rFonts w:ascii="Avenir" w:eastAsia="Times New Roman" w:hAnsi="Avenir" w:cs="Calibri"/>
          <w:bCs/>
          <w:lang w:eastAsia="en-GB"/>
        </w:rPr>
        <w:t xml:space="preserve">Graph 1.2 </w:t>
      </w:r>
    </w:p>
    <w:p w:rsidR="006C7AE6" w:rsidRPr="00C0373D" w:rsidRDefault="006C7AE6" w:rsidP="006C7AE6">
      <w:pPr>
        <w:pStyle w:val="ListParagraph"/>
        <w:spacing w:after="200" w:line="276" w:lineRule="auto"/>
        <w:ind w:left="284" w:right="95"/>
        <w:jc w:val="both"/>
        <w:rPr>
          <w:rFonts w:ascii="Avenir" w:eastAsia="Times New Roman" w:hAnsi="Avenir" w:cs="Calibri"/>
          <w:bCs/>
          <w:lang w:eastAsia="en-GB"/>
        </w:rPr>
      </w:pPr>
      <w:r w:rsidRPr="00C0373D">
        <w:rPr>
          <w:rFonts w:ascii="Avenir" w:eastAsia="Times New Roman" w:hAnsi="Avenir" w:cs="Calibri"/>
          <w:bCs/>
          <w:lang w:eastAsia="en-GB"/>
        </w:rPr>
        <w:t>Failure rates: Total number of hostel girls w</w:t>
      </w:r>
      <w:r w:rsidR="004D5095">
        <w:rPr>
          <w:rFonts w:ascii="Avenir" w:eastAsia="Times New Roman" w:hAnsi="Avenir" w:cs="Calibri"/>
          <w:bCs/>
          <w:lang w:eastAsia="en-GB"/>
        </w:rPr>
        <w:t>ho did not pass compared to non-</w:t>
      </w:r>
      <w:r w:rsidRPr="00C0373D">
        <w:rPr>
          <w:rFonts w:ascii="Avenir" w:eastAsia="Times New Roman" w:hAnsi="Avenir" w:cs="Calibri"/>
          <w:bCs/>
          <w:lang w:eastAsia="en-GB"/>
        </w:rPr>
        <w:t>hostel girls</w:t>
      </w:r>
    </w:p>
    <w:p w:rsidR="00867DCD" w:rsidRPr="00C0373D" w:rsidRDefault="006C7AE6" w:rsidP="006C7AE6">
      <w:pPr>
        <w:pStyle w:val="ListParagraph"/>
        <w:spacing w:after="200" w:line="276" w:lineRule="auto"/>
        <w:ind w:left="284" w:right="95"/>
        <w:jc w:val="center"/>
        <w:rPr>
          <w:rFonts w:ascii="Avenir" w:eastAsia="Times New Roman" w:hAnsi="Avenir" w:cs="Calibri"/>
          <w:bCs/>
          <w:sz w:val="24"/>
          <w:szCs w:val="24"/>
          <w:lang w:eastAsia="en-GB"/>
        </w:rPr>
      </w:pPr>
      <w:r w:rsidRPr="00C0373D">
        <w:rPr>
          <w:rFonts w:ascii="Avenir" w:eastAsia="Times New Roman" w:hAnsi="Avenir" w:cs="Calibri"/>
          <w:bCs/>
          <w:noProof/>
          <w:sz w:val="24"/>
          <w:szCs w:val="24"/>
          <w:lang w:eastAsia="en-GB"/>
        </w:rPr>
        <w:drawing>
          <wp:inline distT="0" distB="0" distL="0" distR="0">
            <wp:extent cx="3851910" cy="198120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871078" cy="1991059"/>
                    </a:xfrm>
                    <a:prstGeom prst="rect">
                      <a:avLst/>
                    </a:prstGeom>
                  </pic:spPr>
                </pic:pic>
              </a:graphicData>
            </a:graphic>
          </wp:inline>
        </w:drawing>
      </w:r>
    </w:p>
    <w:p w:rsidR="00867DCD" w:rsidRPr="00C0373D" w:rsidRDefault="003958E3" w:rsidP="000F586F">
      <w:pPr>
        <w:spacing w:after="200" w:line="276" w:lineRule="auto"/>
        <w:ind w:left="284" w:right="95"/>
        <w:jc w:val="both"/>
        <w:rPr>
          <w:rFonts w:ascii="Avenir" w:hAnsi="Avenir" w:cs="Calibri"/>
          <w:i/>
        </w:rPr>
      </w:pPr>
      <w:r w:rsidRPr="00C0373D">
        <w:rPr>
          <w:rFonts w:ascii="Avenir" w:eastAsia="Times New Roman" w:hAnsi="Avenir" w:cs="Calibri"/>
          <w:bCs/>
          <w:lang w:eastAsia="en-GB"/>
        </w:rPr>
        <w:t xml:space="preserve">It is clear that failure rates of hostel girls have fallen over the four years across all five schools. While this trend is mirrored for non-hostel girls in four of the schools, the number of non-hostel girls who did not pass in </w:t>
      </w:r>
      <w:proofErr w:type="spellStart"/>
      <w:r w:rsidRPr="00C0373D">
        <w:rPr>
          <w:rFonts w:ascii="Avenir" w:eastAsia="Times New Roman" w:hAnsi="Avenir" w:cs="Calibri"/>
          <w:bCs/>
          <w:lang w:eastAsia="en-GB"/>
        </w:rPr>
        <w:t>Mazombe</w:t>
      </w:r>
      <w:proofErr w:type="spellEnd"/>
      <w:r w:rsidRPr="00C0373D">
        <w:rPr>
          <w:rFonts w:ascii="Avenir" w:eastAsia="Times New Roman" w:hAnsi="Avenir" w:cs="Calibri"/>
          <w:bCs/>
          <w:lang w:eastAsia="en-GB"/>
        </w:rPr>
        <w:t xml:space="preserve"> increased over the same period, from </w:t>
      </w:r>
      <w:r w:rsidRPr="00C0373D">
        <w:rPr>
          <w:rFonts w:ascii="Avenir" w:hAnsi="Avenir" w:cs="Calibri"/>
          <w:i/>
        </w:rPr>
        <w:t xml:space="preserve">3.4% in 2016 to 10.5% in 2019. </w:t>
      </w:r>
    </w:p>
    <w:p w:rsidR="006C7AE6" w:rsidRPr="00C0373D" w:rsidRDefault="006C7AE6" w:rsidP="005A794A">
      <w:pPr>
        <w:spacing w:after="0" w:line="240" w:lineRule="auto"/>
        <w:ind w:left="284" w:right="95"/>
        <w:jc w:val="center"/>
        <w:rPr>
          <w:rFonts w:ascii="Avenir" w:eastAsia="MS Mincho" w:hAnsi="Avenir" w:cstheme="minorHAnsi"/>
          <w:b/>
          <w:bCs/>
          <w:sz w:val="24"/>
          <w:szCs w:val="24"/>
          <w:lang w:val="en-US"/>
        </w:rPr>
      </w:pPr>
    </w:p>
    <w:p w:rsidR="00702553" w:rsidRPr="00C0373D" w:rsidRDefault="00702553" w:rsidP="00702553">
      <w:pPr>
        <w:tabs>
          <w:tab w:val="left" w:pos="6227"/>
        </w:tabs>
        <w:spacing w:after="0" w:line="240" w:lineRule="auto"/>
        <w:ind w:left="284" w:right="95"/>
        <w:jc w:val="both"/>
        <w:rPr>
          <w:rFonts w:ascii="Avenir" w:eastAsia="MS Mincho" w:hAnsi="Avenir" w:cstheme="minorHAnsi"/>
          <w:b/>
          <w:bCs/>
          <w:sz w:val="24"/>
          <w:szCs w:val="24"/>
          <w:lang w:val="en-US"/>
        </w:rPr>
      </w:pPr>
      <w:r w:rsidRPr="00C0373D">
        <w:rPr>
          <w:rFonts w:ascii="Avenir" w:eastAsia="MS Mincho" w:hAnsi="Avenir" w:cstheme="minorHAnsi"/>
          <w:b/>
          <w:bCs/>
          <w:sz w:val="24"/>
          <w:szCs w:val="24"/>
          <w:lang w:val="en-US"/>
        </w:rPr>
        <w:tab/>
      </w:r>
    </w:p>
    <w:p w:rsidR="006345FE" w:rsidRPr="00C0373D" w:rsidRDefault="004D5095" w:rsidP="00702553">
      <w:pPr>
        <w:tabs>
          <w:tab w:val="left" w:pos="6227"/>
        </w:tabs>
        <w:spacing w:after="0" w:line="240" w:lineRule="auto"/>
        <w:ind w:left="284" w:right="95"/>
        <w:jc w:val="both"/>
        <w:rPr>
          <w:rFonts w:ascii="Avenir" w:eastAsia="MS Mincho" w:hAnsi="Avenir" w:cstheme="minorHAnsi"/>
          <w:b/>
          <w:bCs/>
          <w:sz w:val="24"/>
          <w:szCs w:val="24"/>
          <w:lang w:val="en-US"/>
        </w:rPr>
      </w:pPr>
      <w:r w:rsidRPr="00C0373D">
        <w:rPr>
          <w:rFonts w:ascii="Avenir" w:eastAsia="MS Mincho" w:hAnsi="Avenir" w:cstheme="minorHAnsi"/>
          <w:b/>
          <w:bCs/>
          <w:noProof/>
          <w:sz w:val="24"/>
          <w:szCs w:val="24"/>
          <w:lang w:eastAsia="en-GB"/>
        </w:rPr>
        <w:lastRenderedPageBreak/>
        <w:drawing>
          <wp:anchor distT="0" distB="0" distL="114300" distR="114300" simplePos="0" relativeHeight="251659776" behindDoc="1" locked="0" layoutInCell="1" allowOverlap="1">
            <wp:simplePos x="0" y="0"/>
            <wp:positionH relativeFrom="column">
              <wp:posOffset>440055</wp:posOffset>
            </wp:positionH>
            <wp:positionV relativeFrom="paragraph">
              <wp:posOffset>81280</wp:posOffset>
            </wp:positionV>
            <wp:extent cx="5652135" cy="3622040"/>
            <wp:effectExtent l="0" t="0" r="0" b="0"/>
            <wp:wrapTight wrapText="bothSides">
              <wp:wrapPolygon edited="0">
                <wp:start x="0" y="0"/>
                <wp:lineTo x="0" y="21471"/>
                <wp:lineTo x="21549" y="21471"/>
                <wp:lineTo x="21549" y="0"/>
                <wp:lineTo x="0" y="0"/>
              </wp:wrapPolygon>
            </wp:wrapTight>
            <wp:docPr id="3" name="Picture 1" descr="C:\Users\Maria\Dropbox (Lyra)\Lyra Team Folder\7. Photos\Raymond Kasoga\Lulanzi May 2017\SM5D0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ropbox (Lyra)\Lyra Team Folder\7. Photos\Raymond Kasoga\Lulanzi May 2017\SM5D077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2135" cy="3622040"/>
                    </a:xfrm>
                    <a:prstGeom prst="rect">
                      <a:avLst/>
                    </a:prstGeom>
                    <a:noFill/>
                    <a:ln>
                      <a:noFill/>
                    </a:ln>
                  </pic:spPr>
                </pic:pic>
              </a:graphicData>
            </a:graphic>
          </wp:anchor>
        </w:drawing>
      </w:r>
    </w:p>
    <w:p w:rsidR="00604630" w:rsidRDefault="00604630" w:rsidP="00604630">
      <w:pPr>
        <w:rPr>
          <w:rFonts w:ascii="Avenir" w:eastAsia="MS Mincho" w:hAnsi="Avenir" w:cstheme="minorHAnsi"/>
          <w:b/>
          <w:bCs/>
          <w:sz w:val="24"/>
          <w:szCs w:val="24"/>
          <w:lang w:val="en-US"/>
        </w:rPr>
      </w:pPr>
    </w:p>
    <w:p w:rsidR="00604630" w:rsidRDefault="00604630" w:rsidP="00604630">
      <w:pPr>
        <w:rPr>
          <w:rFonts w:ascii="Avenir" w:eastAsia="MS Mincho" w:hAnsi="Avenir" w:cstheme="minorHAnsi"/>
          <w:b/>
          <w:bCs/>
          <w:sz w:val="24"/>
          <w:szCs w:val="24"/>
          <w:lang w:val="en-US"/>
        </w:rPr>
      </w:pPr>
    </w:p>
    <w:p w:rsidR="00604630" w:rsidRDefault="00604630" w:rsidP="00604630">
      <w:pPr>
        <w:rPr>
          <w:rFonts w:ascii="Avenir" w:eastAsia="MS Mincho" w:hAnsi="Avenir" w:cstheme="minorHAnsi"/>
          <w:b/>
          <w:bCs/>
          <w:sz w:val="24"/>
          <w:szCs w:val="24"/>
          <w:lang w:val="en-US"/>
        </w:rPr>
      </w:pPr>
    </w:p>
    <w:p w:rsidR="00604630" w:rsidRDefault="00604630" w:rsidP="00604630">
      <w:pPr>
        <w:rPr>
          <w:rFonts w:ascii="Avenir" w:eastAsia="MS Mincho" w:hAnsi="Avenir" w:cstheme="minorHAnsi"/>
          <w:b/>
          <w:bCs/>
          <w:sz w:val="24"/>
          <w:szCs w:val="24"/>
          <w:lang w:val="en-US"/>
        </w:rPr>
      </w:pPr>
    </w:p>
    <w:p w:rsidR="00604630" w:rsidRDefault="00604630" w:rsidP="00604630">
      <w:pPr>
        <w:rPr>
          <w:rFonts w:ascii="Avenir" w:eastAsia="MS Mincho" w:hAnsi="Avenir" w:cstheme="minorHAnsi"/>
          <w:b/>
          <w:bCs/>
          <w:sz w:val="24"/>
          <w:szCs w:val="24"/>
          <w:lang w:val="en-US"/>
        </w:rPr>
      </w:pPr>
    </w:p>
    <w:p w:rsidR="00604630" w:rsidRDefault="00604630" w:rsidP="00604630">
      <w:pPr>
        <w:rPr>
          <w:rFonts w:ascii="Avenir" w:eastAsia="MS Mincho" w:hAnsi="Avenir" w:cstheme="minorHAnsi"/>
          <w:b/>
          <w:bCs/>
          <w:sz w:val="24"/>
          <w:szCs w:val="24"/>
          <w:lang w:val="en-US"/>
        </w:rPr>
      </w:pPr>
    </w:p>
    <w:p w:rsidR="00604630" w:rsidRDefault="00604630" w:rsidP="00604630">
      <w:pPr>
        <w:rPr>
          <w:rFonts w:ascii="Avenir" w:eastAsia="MS Mincho" w:hAnsi="Avenir" w:cstheme="minorHAnsi"/>
          <w:b/>
          <w:bCs/>
          <w:sz w:val="24"/>
          <w:szCs w:val="24"/>
          <w:lang w:val="en-US"/>
        </w:rPr>
      </w:pPr>
    </w:p>
    <w:p w:rsidR="00604630" w:rsidRDefault="00604630" w:rsidP="00604630">
      <w:pPr>
        <w:rPr>
          <w:rFonts w:ascii="Avenir" w:eastAsia="MS Mincho" w:hAnsi="Avenir" w:cstheme="minorHAnsi"/>
          <w:b/>
          <w:bCs/>
          <w:sz w:val="24"/>
          <w:szCs w:val="24"/>
          <w:lang w:val="en-US"/>
        </w:rPr>
      </w:pPr>
    </w:p>
    <w:p w:rsidR="00604630" w:rsidRDefault="00604630" w:rsidP="00604630">
      <w:pPr>
        <w:rPr>
          <w:rFonts w:ascii="Avenir" w:eastAsia="MS Mincho" w:hAnsi="Avenir" w:cstheme="minorHAnsi"/>
          <w:b/>
          <w:bCs/>
          <w:sz w:val="24"/>
          <w:szCs w:val="24"/>
          <w:lang w:val="en-US"/>
        </w:rPr>
      </w:pPr>
    </w:p>
    <w:p w:rsidR="00604630" w:rsidRDefault="00604630" w:rsidP="00604630">
      <w:pPr>
        <w:rPr>
          <w:rFonts w:ascii="Avenir" w:eastAsia="MS Mincho" w:hAnsi="Avenir" w:cstheme="minorHAnsi"/>
          <w:b/>
          <w:bCs/>
          <w:sz w:val="24"/>
          <w:szCs w:val="24"/>
          <w:lang w:val="en-US"/>
        </w:rPr>
      </w:pPr>
    </w:p>
    <w:p w:rsidR="00604630" w:rsidRDefault="00604630" w:rsidP="00604630">
      <w:pPr>
        <w:rPr>
          <w:rFonts w:ascii="Avenir" w:eastAsia="MS Mincho" w:hAnsi="Avenir" w:cstheme="minorHAnsi"/>
          <w:b/>
          <w:bCs/>
          <w:sz w:val="24"/>
          <w:szCs w:val="24"/>
          <w:lang w:val="en-US"/>
        </w:rPr>
      </w:pPr>
    </w:p>
    <w:p w:rsidR="00604630" w:rsidRDefault="00604630" w:rsidP="00604630">
      <w:pPr>
        <w:rPr>
          <w:rFonts w:ascii="Avenir" w:eastAsia="MS Mincho" w:hAnsi="Avenir" w:cstheme="minorHAnsi"/>
          <w:b/>
          <w:bCs/>
          <w:sz w:val="24"/>
          <w:szCs w:val="24"/>
          <w:lang w:val="en-US"/>
        </w:rPr>
      </w:pPr>
    </w:p>
    <w:p w:rsidR="00867DCD" w:rsidRPr="00C0373D" w:rsidRDefault="00A86718" w:rsidP="00604630">
      <w:pPr>
        <w:rPr>
          <w:rFonts w:ascii="Avenir" w:eastAsia="MS Mincho" w:hAnsi="Avenir" w:cstheme="minorHAnsi"/>
          <w:b/>
          <w:bCs/>
          <w:sz w:val="24"/>
          <w:szCs w:val="24"/>
          <w:lang w:val="en-US"/>
        </w:rPr>
      </w:pPr>
      <w:r w:rsidRPr="00C0373D">
        <w:rPr>
          <w:rFonts w:ascii="Avenir" w:eastAsia="MS Mincho" w:hAnsi="Avenir" w:cstheme="minorHAnsi"/>
          <w:b/>
          <w:bCs/>
          <w:sz w:val="24"/>
          <w:szCs w:val="24"/>
          <w:lang w:val="en-US"/>
        </w:rPr>
        <w:t>3</w:t>
      </w:r>
      <w:r w:rsidR="00CE1BF9" w:rsidRPr="00C0373D">
        <w:rPr>
          <w:rFonts w:ascii="Avenir" w:eastAsia="MS Mincho" w:hAnsi="Avenir" w:cstheme="minorHAnsi"/>
          <w:b/>
          <w:bCs/>
          <w:sz w:val="24"/>
          <w:szCs w:val="24"/>
          <w:lang w:val="en-US"/>
        </w:rPr>
        <w:t xml:space="preserve">. </w:t>
      </w:r>
      <w:r w:rsidR="00A91903" w:rsidRPr="00C0373D">
        <w:rPr>
          <w:rFonts w:ascii="Avenir" w:eastAsia="MS Mincho" w:hAnsi="Avenir" w:cstheme="minorHAnsi"/>
          <w:b/>
          <w:bCs/>
          <w:sz w:val="24"/>
          <w:szCs w:val="24"/>
          <w:lang w:val="en-US"/>
        </w:rPr>
        <w:t xml:space="preserve">How does </w:t>
      </w:r>
      <w:r w:rsidR="00560EEA" w:rsidRPr="00C0373D">
        <w:rPr>
          <w:rFonts w:ascii="Avenir" w:eastAsia="MS Mincho" w:hAnsi="Avenir" w:cstheme="minorHAnsi"/>
          <w:b/>
          <w:bCs/>
          <w:sz w:val="24"/>
          <w:szCs w:val="24"/>
          <w:lang w:val="en-US"/>
        </w:rPr>
        <w:t>Lyra’s h</w:t>
      </w:r>
      <w:r w:rsidR="00270CFB" w:rsidRPr="00C0373D">
        <w:rPr>
          <w:rFonts w:ascii="Avenir" w:eastAsia="MS Mincho" w:hAnsi="Avenir" w:cstheme="minorHAnsi"/>
          <w:b/>
          <w:bCs/>
          <w:sz w:val="24"/>
          <w:szCs w:val="24"/>
          <w:lang w:val="en-US"/>
        </w:rPr>
        <w:t xml:space="preserve">ostel </w:t>
      </w:r>
      <w:r w:rsidR="00A91903" w:rsidRPr="00C0373D">
        <w:rPr>
          <w:rFonts w:ascii="Avenir" w:eastAsia="MS Mincho" w:hAnsi="Avenir" w:cstheme="minorHAnsi"/>
          <w:b/>
          <w:bCs/>
          <w:sz w:val="24"/>
          <w:szCs w:val="24"/>
          <w:lang w:val="en-US"/>
        </w:rPr>
        <w:t xml:space="preserve">cost </w:t>
      </w:r>
      <w:r w:rsidR="00435F87" w:rsidRPr="00C0373D">
        <w:rPr>
          <w:rFonts w:ascii="Avenir" w:eastAsia="MS Mincho" w:hAnsi="Avenir" w:cstheme="minorHAnsi"/>
          <w:b/>
          <w:bCs/>
          <w:sz w:val="24"/>
          <w:szCs w:val="24"/>
          <w:lang w:val="en-US"/>
        </w:rPr>
        <w:t xml:space="preserve">and build </w:t>
      </w:r>
      <w:r w:rsidR="00A91903" w:rsidRPr="00C0373D">
        <w:rPr>
          <w:rFonts w:ascii="Avenir" w:eastAsia="MS Mincho" w:hAnsi="Avenir" w:cstheme="minorHAnsi"/>
          <w:b/>
          <w:bCs/>
          <w:sz w:val="24"/>
          <w:szCs w:val="24"/>
          <w:lang w:val="en-US"/>
        </w:rPr>
        <w:t xml:space="preserve">compare to a standard Government model? </w:t>
      </w:r>
    </w:p>
    <w:p w:rsidR="004D5095" w:rsidRDefault="004D5095" w:rsidP="000F586F">
      <w:pPr>
        <w:ind w:left="284" w:right="95"/>
        <w:jc w:val="both"/>
        <w:rPr>
          <w:rFonts w:ascii="Avenir" w:hAnsi="Avenir" w:cstheme="minorHAnsi"/>
        </w:rPr>
      </w:pPr>
    </w:p>
    <w:p w:rsidR="00867DCD" w:rsidRPr="00C0373D" w:rsidRDefault="004D5095" w:rsidP="000F586F">
      <w:pPr>
        <w:ind w:left="284" w:right="95"/>
        <w:jc w:val="both"/>
        <w:rPr>
          <w:rFonts w:ascii="Avenir" w:hAnsi="Avenir" w:cstheme="minorHAnsi"/>
        </w:rPr>
      </w:pPr>
      <w:r>
        <w:rPr>
          <w:rFonts w:ascii="Avenir" w:hAnsi="Avenir" w:cstheme="minorHAnsi"/>
        </w:rPr>
        <w:t xml:space="preserve">What makes </w:t>
      </w:r>
      <w:r w:rsidR="00A91903" w:rsidRPr="00C0373D">
        <w:rPr>
          <w:rFonts w:ascii="Avenir" w:hAnsi="Avenir" w:cstheme="minorHAnsi"/>
        </w:rPr>
        <w:t xml:space="preserve">Lyra’s </w:t>
      </w:r>
      <w:r w:rsidR="00830653" w:rsidRPr="00C0373D">
        <w:rPr>
          <w:rFonts w:ascii="Avenir" w:hAnsi="Avenir" w:cstheme="minorHAnsi"/>
        </w:rPr>
        <w:t xml:space="preserve">innovative hostel </w:t>
      </w:r>
      <w:r>
        <w:rPr>
          <w:rFonts w:ascii="Avenir" w:hAnsi="Avenir" w:cstheme="minorHAnsi"/>
        </w:rPr>
        <w:t>different is</w:t>
      </w:r>
      <w:r w:rsidR="00A91903" w:rsidRPr="00C0373D">
        <w:rPr>
          <w:rFonts w:ascii="Avenir" w:hAnsi="Avenir" w:cstheme="minorHAnsi"/>
        </w:rPr>
        <w:t xml:space="preserve"> primarily </w:t>
      </w:r>
      <w:r>
        <w:rPr>
          <w:rFonts w:ascii="Avenir" w:hAnsi="Avenir" w:cstheme="minorHAnsi"/>
        </w:rPr>
        <w:t>its low-carbon and aspirational</w:t>
      </w:r>
      <w:r w:rsidR="00714BAC" w:rsidRPr="00C0373D">
        <w:rPr>
          <w:rFonts w:ascii="Avenir" w:hAnsi="Avenir" w:cstheme="minorHAnsi"/>
        </w:rPr>
        <w:t xml:space="preserve"> design</w:t>
      </w:r>
      <w:r w:rsidR="00470F32">
        <w:rPr>
          <w:rFonts w:ascii="Avenir" w:hAnsi="Avenir" w:cstheme="minorHAnsi"/>
        </w:rPr>
        <w:t xml:space="preserve"> that takes the girls needs into consideration. Secondly,</w:t>
      </w:r>
      <w:r w:rsidR="00714BAC" w:rsidRPr="00C0373D">
        <w:rPr>
          <w:rFonts w:ascii="Avenir" w:hAnsi="Avenir" w:cstheme="minorHAnsi"/>
        </w:rPr>
        <w:t xml:space="preserve"> </w:t>
      </w:r>
      <w:r w:rsidR="00A91903" w:rsidRPr="00C0373D">
        <w:rPr>
          <w:rFonts w:ascii="Avenir" w:hAnsi="Avenir" w:cstheme="minorHAnsi"/>
        </w:rPr>
        <w:t xml:space="preserve">our main preferred raw material </w:t>
      </w:r>
      <w:r w:rsidR="00470F32">
        <w:rPr>
          <w:rFonts w:ascii="Avenir" w:hAnsi="Avenir" w:cstheme="minorHAnsi"/>
        </w:rPr>
        <w:t>is</w:t>
      </w:r>
      <w:r w:rsidR="00A91903" w:rsidRPr="00C0373D">
        <w:rPr>
          <w:rFonts w:ascii="Avenir" w:hAnsi="Avenir" w:cstheme="minorHAnsi"/>
        </w:rPr>
        <w:t xml:space="preserve"> compressed earth bricks, </w:t>
      </w:r>
      <w:r w:rsidR="00470F32">
        <w:rPr>
          <w:rFonts w:ascii="Avenir" w:hAnsi="Avenir" w:cstheme="minorHAnsi"/>
        </w:rPr>
        <w:t xml:space="preserve">or </w:t>
      </w:r>
      <w:r w:rsidR="00A91903" w:rsidRPr="00C0373D">
        <w:rPr>
          <w:rFonts w:ascii="Avenir" w:hAnsi="Avenir" w:cstheme="minorHAnsi"/>
        </w:rPr>
        <w:t xml:space="preserve">Interlocking Stabilised Soil Blocks (ISSB). Soil is the major raw material for a stabilized brick and the preparation only requires labour, making this one of the cheapest ways to produce bricks. </w:t>
      </w:r>
      <w:r w:rsidR="00470F32" w:rsidRPr="00470F32">
        <w:rPr>
          <w:rFonts w:ascii="Avenir" w:hAnsi="Avenir" w:cstheme="minorHAnsi"/>
        </w:rPr>
        <w:t>A small amount of cement (5-10%) is added to soil and manually compressed in a block press</w:t>
      </w:r>
      <w:r w:rsidR="00470F32">
        <w:rPr>
          <w:rFonts w:ascii="Avenir" w:hAnsi="Avenir" w:cstheme="minorHAnsi"/>
        </w:rPr>
        <w:t xml:space="preserve">. </w:t>
      </w:r>
      <w:r w:rsidR="00470F32" w:rsidRPr="00470F32">
        <w:rPr>
          <w:rFonts w:ascii="Avenir" w:hAnsi="Avenir" w:cstheme="minorHAnsi"/>
        </w:rPr>
        <w:t>The blocks are air-cured rather than fired</w:t>
      </w:r>
      <w:r w:rsidR="00470F32">
        <w:rPr>
          <w:rFonts w:ascii="Avenir" w:hAnsi="Avenir" w:cstheme="minorHAnsi"/>
        </w:rPr>
        <w:t xml:space="preserve">. </w:t>
      </w:r>
      <w:r w:rsidR="00884FEE" w:rsidRPr="00C0373D">
        <w:rPr>
          <w:rFonts w:ascii="Avenir" w:hAnsi="Avenir" w:cstheme="minorHAnsi"/>
        </w:rPr>
        <w:t xml:space="preserve">This is a low-cost, carbon-saving alternative to the </w:t>
      </w:r>
      <w:r w:rsidR="00C4529A">
        <w:rPr>
          <w:rFonts w:ascii="Avenir" w:hAnsi="Avenir" w:cstheme="minorHAnsi"/>
        </w:rPr>
        <w:t xml:space="preserve">traditionally used </w:t>
      </w:r>
      <w:r w:rsidR="00884FEE" w:rsidRPr="00C0373D">
        <w:rPr>
          <w:rFonts w:ascii="Avenir" w:hAnsi="Avenir" w:cstheme="minorHAnsi"/>
        </w:rPr>
        <w:t>environmentally damaging fired bricks</w:t>
      </w:r>
      <w:r w:rsidR="00C4529A">
        <w:rPr>
          <w:rFonts w:ascii="Avenir" w:hAnsi="Avenir" w:cstheme="minorHAnsi"/>
        </w:rPr>
        <w:t>.</w:t>
      </w:r>
      <w:r w:rsidR="00884FEE" w:rsidRPr="00C0373D">
        <w:rPr>
          <w:rStyle w:val="FootnoteReference"/>
          <w:rFonts w:ascii="Avenir" w:hAnsi="Avenir" w:cstheme="minorHAnsi"/>
        </w:rPr>
        <w:footnoteReference w:id="6"/>
      </w:r>
      <w:r w:rsidR="00470F32">
        <w:rPr>
          <w:rFonts w:ascii="Avenir" w:hAnsi="Avenir" w:cstheme="minorHAnsi"/>
        </w:rPr>
        <w:t xml:space="preserve"> </w:t>
      </w:r>
    </w:p>
    <w:p w:rsidR="00867DCD" w:rsidRPr="00C0373D" w:rsidRDefault="00470F32" w:rsidP="000F586F">
      <w:pPr>
        <w:ind w:left="284" w:right="95"/>
        <w:jc w:val="both"/>
        <w:rPr>
          <w:rFonts w:ascii="Avenir" w:hAnsi="Avenir" w:cstheme="minorHAnsi"/>
        </w:rPr>
      </w:pPr>
      <w:r>
        <w:rPr>
          <w:rFonts w:ascii="Avenir" w:hAnsi="Avenir" w:cstheme="minorHAnsi"/>
        </w:rPr>
        <w:t>ISSBs</w:t>
      </w:r>
      <w:r w:rsidR="00A91903" w:rsidRPr="00C0373D">
        <w:rPr>
          <w:rFonts w:ascii="Avenir" w:hAnsi="Avenir" w:cstheme="minorHAnsi"/>
        </w:rPr>
        <w:t xml:space="preserve"> are more durable, with 80 % higher compressive strength on average than standard burnt bricks. Consensus across research indicates that cost</w:t>
      </w:r>
      <w:r>
        <w:rPr>
          <w:rFonts w:ascii="Avenir" w:hAnsi="Avenir" w:cstheme="minorHAnsi"/>
        </w:rPr>
        <w:t>s</w:t>
      </w:r>
      <w:r w:rsidR="00A91903" w:rsidRPr="00C0373D">
        <w:rPr>
          <w:rFonts w:ascii="Avenir" w:hAnsi="Avenir" w:cstheme="minorHAnsi"/>
        </w:rPr>
        <w:t xml:space="preserve"> per sq</w:t>
      </w:r>
      <w:r w:rsidR="00C4529A">
        <w:rPr>
          <w:rFonts w:ascii="Avenir" w:hAnsi="Avenir" w:cstheme="minorHAnsi"/>
        </w:rPr>
        <w:t>uare metre are between 25% and 4</w:t>
      </w:r>
      <w:r w:rsidR="00A91903" w:rsidRPr="00C0373D">
        <w:rPr>
          <w:rFonts w:ascii="Avenir" w:hAnsi="Avenir" w:cstheme="minorHAnsi"/>
        </w:rPr>
        <w:t xml:space="preserve">0% lower, </w:t>
      </w:r>
      <w:r>
        <w:rPr>
          <w:rFonts w:ascii="Avenir" w:hAnsi="Avenir" w:cstheme="minorHAnsi"/>
        </w:rPr>
        <w:t>due to</w:t>
      </w:r>
      <w:r w:rsidR="00A91903" w:rsidRPr="00C0373D">
        <w:rPr>
          <w:rFonts w:ascii="Avenir" w:hAnsi="Avenir" w:cstheme="minorHAnsi"/>
        </w:rPr>
        <w:t xml:space="preserve"> dry stacking and less cement and mortar for plastering and rendering.</w:t>
      </w:r>
      <w:r w:rsidR="00A91903" w:rsidRPr="00C0373D">
        <w:rPr>
          <w:rStyle w:val="FootnoteReference"/>
          <w:rFonts w:ascii="Avenir" w:hAnsi="Avenir" w:cstheme="minorHAnsi"/>
        </w:rPr>
        <w:footnoteReference w:id="7"/>
      </w:r>
      <w:r w:rsidR="00A91903" w:rsidRPr="00C0373D">
        <w:rPr>
          <w:rFonts w:ascii="Avenir" w:hAnsi="Avenir" w:cstheme="minorHAnsi"/>
        </w:rPr>
        <w:t xml:space="preserve"> </w:t>
      </w:r>
      <w:r w:rsidR="00830653" w:rsidRPr="00C0373D">
        <w:rPr>
          <w:rStyle w:val="FootnoteReference"/>
          <w:rFonts w:ascii="Avenir" w:hAnsi="Avenir" w:cstheme="minorHAnsi"/>
        </w:rPr>
        <w:footnoteReference w:id="8"/>
      </w:r>
    </w:p>
    <w:p w:rsidR="00867DCD" w:rsidRPr="00C0373D" w:rsidRDefault="00D3217B" w:rsidP="000F586F">
      <w:pPr>
        <w:ind w:left="284" w:right="95"/>
        <w:jc w:val="both"/>
        <w:rPr>
          <w:rFonts w:ascii="Avenir" w:hAnsi="Avenir" w:cstheme="minorHAnsi"/>
          <w:lang w:val="en-US"/>
        </w:rPr>
      </w:pPr>
      <w:r w:rsidRPr="00C0373D">
        <w:rPr>
          <w:rFonts w:ascii="Avenir" w:hAnsi="Avenir" w:cstheme="minorHAnsi"/>
          <w:lang w:val="en-US"/>
        </w:rPr>
        <w:t xml:space="preserve">We promote the </w:t>
      </w:r>
      <w:r w:rsidR="00942C26" w:rsidRPr="00C0373D">
        <w:rPr>
          <w:rFonts w:ascii="Avenir" w:hAnsi="Avenir" w:cstheme="minorHAnsi"/>
          <w:lang w:val="en-US"/>
        </w:rPr>
        <w:t xml:space="preserve">use of ISSB </w:t>
      </w:r>
      <w:r w:rsidRPr="00C0373D">
        <w:rPr>
          <w:rFonts w:ascii="Avenir" w:hAnsi="Avenir" w:cstheme="minorHAnsi"/>
          <w:lang w:val="en-US"/>
        </w:rPr>
        <w:t>in areas where the soil is suitable, following tests by the National Housing Bureau for Research Agency (</w:t>
      </w:r>
      <w:r w:rsidR="00884FEE" w:rsidRPr="00C0373D">
        <w:rPr>
          <w:rFonts w:ascii="Avenir" w:hAnsi="Avenir" w:cstheme="minorHAnsi"/>
          <w:lang w:val="en-US"/>
        </w:rPr>
        <w:t>NHBRA</w:t>
      </w:r>
      <w:r w:rsidRPr="00C0373D">
        <w:rPr>
          <w:rFonts w:ascii="Avenir" w:hAnsi="Avenir" w:cstheme="minorHAnsi"/>
          <w:lang w:val="en-US"/>
        </w:rPr>
        <w:t xml:space="preserve">). </w:t>
      </w:r>
    </w:p>
    <w:p w:rsidR="00867DCD" w:rsidRPr="00C0373D" w:rsidRDefault="00C4529A" w:rsidP="000F586F">
      <w:pPr>
        <w:ind w:left="284" w:right="95"/>
        <w:jc w:val="both"/>
        <w:rPr>
          <w:rFonts w:ascii="Avenir" w:hAnsi="Avenir" w:cstheme="minorHAnsi"/>
        </w:rPr>
      </w:pPr>
      <w:r>
        <w:rPr>
          <w:rFonts w:ascii="Avenir" w:hAnsi="Avenir" w:cstheme="minorHAnsi"/>
        </w:rPr>
        <w:t xml:space="preserve">We completed our first ISSB </w:t>
      </w:r>
      <w:r w:rsidR="00A91903" w:rsidRPr="00C0373D">
        <w:rPr>
          <w:rFonts w:ascii="Avenir" w:hAnsi="Avenir" w:cstheme="minorHAnsi"/>
        </w:rPr>
        <w:t xml:space="preserve">“green </w:t>
      </w:r>
      <w:r w:rsidR="00560EEA" w:rsidRPr="00C0373D">
        <w:rPr>
          <w:rFonts w:ascii="Avenir" w:hAnsi="Avenir" w:cstheme="minorHAnsi"/>
        </w:rPr>
        <w:t xml:space="preserve">Lyra </w:t>
      </w:r>
      <w:r w:rsidR="00A91903" w:rsidRPr="00C0373D">
        <w:rPr>
          <w:rFonts w:ascii="Avenir" w:hAnsi="Avenir" w:cstheme="minorHAnsi"/>
        </w:rPr>
        <w:t xml:space="preserve">hostel” in </w:t>
      </w:r>
      <w:proofErr w:type="gramStart"/>
      <w:r w:rsidR="00A91903" w:rsidRPr="00C0373D">
        <w:rPr>
          <w:rFonts w:ascii="Avenir" w:hAnsi="Avenir" w:cstheme="minorHAnsi"/>
        </w:rPr>
        <w:t>2018, and</w:t>
      </w:r>
      <w:proofErr w:type="gramEnd"/>
      <w:r w:rsidR="00A91903" w:rsidRPr="00C0373D">
        <w:rPr>
          <w:rFonts w:ascii="Avenir" w:hAnsi="Avenir" w:cstheme="minorHAnsi"/>
        </w:rPr>
        <w:t xml:space="preserve"> have </w:t>
      </w:r>
      <w:r>
        <w:rPr>
          <w:rFonts w:ascii="Avenir" w:hAnsi="Avenir" w:cstheme="minorHAnsi"/>
        </w:rPr>
        <w:t>since finished another using</w:t>
      </w:r>
      <w:r w:rsidR="00A91903" w:rsidRPr="00C0373D">
        <w:rPr>
          <w:rFonts w:ascii="Avenir" w:hAnsi="Avenir" w:cstheme="minorHAnsi"/>
        </w:rPr>
        <w:t xml:space="preserve"> ISSBs. </w:t>
      </w:r>
      <w:r w:rsidR="006E3F86" w:rsidRPr="00C0373D">
        <w:rPr>
          <w:rFonts w:ascii="Avenir" w:hAnsi="Avenir" w:cstheme="minorHAnsi"/>
        </w:rPr>
        <w:t>T</w:t>
      </w:r>
      <w:r w:rsidR="00714BAC" w:rsidRPr="00C0373D">
        <w:rPr>
          <w:rFonts w:ascii="Avenir" w:hAnsi="Avenir" w:cstheme="minorHAnsi"/>
        </w:rPr>
        <w:t xml:space="preserve">he cost per square metre </w:t>
      </w:r>
      <w:r w:rsidR="00717838" w:rsidRPr="00C0373D">
        <w:rPr>
          <w:rFonts w:ascii="Avenir" w:hAnsi="Avenir" w:cstheme="minorHAnsi"/>
        </w:rPr>
        <w:t>works out cheaper for Lyra’s design model on a like for like basis</w:t>
      </w:r>
      <w:r w:rsidR="006E3F86" w:rsidRPr="00C0373D">
        <w:rPr>
          <w:rFonts w:ascii="Avenir" w:hAnsi="Avenir" w:cstheme="minorHAnsi"/>
        </w:rPr>
        <w:t xml:space="preserve"> with the </w:t>
      </w:r>
      <w:r w:rsidR="006E3F86" w:rsidRPr="00C0373D">
        <w:rPr>
          <w:rFonts w:ascii="Avenir" w:hAnsi="Avenir" w:cstheme="minorHAnsi"/>
        </w:rPr>
        <w:lastRenderedPageBreak/>
        <w:t>standard government design</w:t>
      </w:r>
      <w:r w:rsidR="00717838" w:rsidRPr="00C0373D">
        <w:rPr>
          <w:rFonts w:ascii="Avenir" w:hAnsi="Avenir" w:cstheme="minorHAnsi"/>
        </w:rPr>
        <w:t xml:space="preserve">, see appendix </w:t>
      </w:r>
      <w:r w:rsidR="00560EEA" w:rsidRPr="00C0373D">
        <w:rPr>
          <w:rFonts w:ascii="Avenir" w:hAnsi="Avenir" w:cstheme="minorHAnsi"/>
        </w:rPr>
        <w:t>1</w:t>
      </w:r>
      <w:r w:rsidR="00717838" w:rsidRPr="00C0373D">
        <w:rPr>
          <w:rFonts w:ascii="Avenir" w:hAnsi="Avenir" w:cstheme="minorHAnsi"/>
        </w:rPr>
        <w:t>.</w:t>
      </w:r>
      <w:r w:rsidR="00884FEE" w:rsidRPr="00C0373D">
        <w:rPr>
          <w:rFonts w:ascii="Avenir" w:hAnsi="Avenir" w:cstheme="minorHAnsi"/>
        </w:rPr>
        <w:t xml:space="preserve"> We have identified areas where we can continue to deliver lower building costs by reducing the amount of cement.</w:t>
      </w:r>
    </w:p>
    <w:p w:rsidR="00702553" w:rsidRPr="00C0373D" w:rsidRDefault="00A91903" w:rsidP="000F586F">
      <w:pPr>
        <w:ind w:left="284" w:right="95"/>
        <w:jc w:val="both"/>
        <w:rPr>
          <w:rFonts w:ascii="Avenir" w:hAnsi="Avenir" w:cstheme="minorHAnsi"/>
          <w:b/>
          <w:bCs/>
        </w:rPr>
      </w:pPr>
      <w:r w:rsidRPr="00C0373D">
        <w:rPr>
          <w:rFonts w:ascii="Avenir" w:hAnsi="Avenir" w:cstheme="minorHAnsi"/>
        </w:rPr>
        <w:t>Even if the conclusion were to build hostels according to the standard Government design</w:t>
      </w:r>
      <w:r w:rsidR="00717838" w:rsidRPr="00C0373D">
        <w:rPr>
          <w:rFonts w:ascii="Avenir" w:hAnsi="Avenir" w:cstheme="minorHAnsi"/>
        </w:rPr>
        <w:t xml:space="preserve"> (see appendix</w:t>
      </w:r>
      <w:r w:rsidR="00560EEA" w:rsidRPr="00C0373D">
        <w:rPr>
          <w:rFonts w:ascii="Avenir" w:hAnsi="Avenir" w:cstheme="minorHAnsi"/>
        </w:rPr>
        <w:t xml:space="preserve"> 2 for</w:t>
      </w:r>
      <w:r w:rsidR="00717838" w:rsidRPr="00C0373D">
        <w:rPr>
          <w:rFonts w:ascii="Avenir" w:hAnsi="Avenir" w:cstheme="minorHAnsi"/>
        </w:rPr>
        <w:t xml:space="preserve"> drawings)</w:t>
      </w:r>
      <w:r w:rsidRPr="00C0373D">
        <w:rPr>
          <w:rFonts w:ascii="Avenir" w:hAnsi="Avenir" w:cstheme="minorHAnsi"/>
        </w:rPr>
        <w:t xml:space="preserve">, ISSB remains the cheapest raw material for construction, </w:t>
      </w:r>
      <w:r w:rsidR="00717838" w:rsidRPr="00C0373D">
        <w:rPr>
          <w:rFonts w:ascii="Avenir" w:hAnsi="Avenir" w:cstheme="minorHAnsi"/>
        </w:rPr>
        <w:t>in addition to</w:t>
      </w:r>
      <w:r w:rsidRPr="00C0373D">
        <w:rPr>
          <w:rFonts w:ascii="Avenir" w:hAnsi="Avenir" w:cstheme="minorHAnsi"/>
        </w:rPr>
        <w:t xml:space="preserve"> being sustainable and environmentally friendly. </w:t>
      </w:r>
      <w:r w:rsidR="00470F32">
        <w:rPr>
          <w:rFonts w:ascii="Avenir" w:hAnsi="Avenir" w:cstheme="minorHAnsi"/>
        </w:rPr>
        <w:t>For a detailed breakdown of cost, see Appendix 1.</w:t>
      </w:r>
    </w:p>
    <w:p w:rsidR="00C4529A" w:rsidRDefault="00C4529A" w:rsidP="000F586F">
      <w:pPr>
        <w:ind w:left="284" w:right="95"/>
        <w:jc w:val="both"/>
        <w:rPr>
          <w:rFonts w:ascii="Avenir" w:hAnsi="Avenir" w:cstheme="minorHAnsi"/>
          <w:b/>
          <w:bCs/>
          <w:sz w:val="24"/>
          <w:szCs w:val="24"/>
        </w:rPr>
      </w:pPr>
    </w:p>
    <w:p w:rsidR="00DD4A14" w:rsidRPr="00C0373D" w:rsidRDefault="00A86718" w:rsidP="000F586F">
      <w:pPr>
        <w:ind w:left="284" w:right="95"/>
        <w:jc w:val="both"/>
        <w:rPr>
          <w:rFonts w:ascii="Avenir" w:hAnsi="Avenir" w:cstheme="minorHAnsi"/>
          <w:b/>
          <w:bCs/>
          <w:sz w:val="24"/>
          <w:szCs w:val="24"/>
        </w:rPr>
      </w:pPr>
      <w:r w:rsidRPr="00C0373D">
        <w:rPr>
          <w:rFonts w:ascii="Avenir" w:hAnsi="Avenir" w:cstheme="minorHAnsi"/>
          <w:b/>
          <w:bCs/>
          <w:sz w:val="24"/>
          <w:szCs w:val="24"/>
        </w:rPr>
        <w:t>4</w:t>
      </w:r>
      <w:r w:rsidR="00DD4A14" w:rsidRPr="00C0373D">
        <w:rPr>
          <w:rFonts w:ascii="Avenir" w:hAnsi="Avenir" w:cstheme="minorHAnsi"/>
          <w:b/>
          <w:bCs/>
          <w:sz w:val="24"/>
          <w:szCs w:val="24"/>
        </w:rPr>
        <w:t xml:space="preserve">. What is the environmental impact of Lyra’s hostels? </w:t>
      </w:r>
      <w:r w:rsidR="00717838" w:rsidRPr="00C0373D">
        <w:rPr>
          <w:rStyle w:val="FootnoteReference"/>
          <w:rFonts w:ascii="Avenir" w:hAnsi="Avenir" w:cstheme="minorHAnsi"/>
          <w:b/>
          <w:bCs/>
          <w:sz w:val="24"/>
          <w:szCs w:val="24"/>
        </w:rPr>
        <w:footnoteReference w:id="9"/>
      </w:r>
    </w:p>
    <w:p w:rsidR="00DD4A14" w:rsidRPr="00C0373D" w:rsidRDefault="00DD4A14" w:rsidP="000F586F">
      <w:pPr>
        <w:ind w:left="284" w:right="95"/>
        <w:jc w:val="both"/>
        <w:rPr>
          <w:rFonts w:ascii="Avenir" w:hAnsi="Avenir" w:cstheme="minorHAnsi"/>
        </w:rPr>
      </w:pPr>
      <w:r w:rsidRPr="00C0373D">
        <w:rPr>
          <w:rFonts w:ascii="Avenir" w:hAnsi="Avenir" w:cstheme="minorHAnsi"/>
        </w:rPr>
        <w:t>There are two significant</w:t>
      </w:r>
      <w:r w:rsidR="006E3F86" w:rsidRPr="00C0373D">
        <w:rPr>
          <w:rFonts w:ascii="Avenir" w:hAnsi="Avenir" w:cstheme="minorHAnsi"/>
        </w:rPr>
        <w:t>,</w:t>
      </w:r>
      <w:r w:rsidRPr="00C0373D">
        <w:rPr>
          <w:rFonts w:ascii="Avenir" w:hAnsi="Avenir" w:cstheme="minorHAnsi"/>
        </w:rPr>
        <w:t xml:space="preserve"> quantifiable reductions in CO2 emissions </w:t>
      </w:r>
      <w:r w:rsidR="006E3F86" w:rsidRPr="00C0373D">
        <w:rPr>
          <w:rFonts w:ascii="Avenir" w:hAnsi="Avenir" w:cstheme="minorHAnsi"/>
        </w:rPr>
        <w:t>when</w:t>
      </w:r>
      <w:r w:rsidRPr="00C0373D">
        <w:rPr>
          <w:rFonts w:ascii="Avenir" w:hAnsi="Avenir" w:cstheme="minorHAnsi"/>
        </w:rPr>
        <w:t xml:space="preserve"> using ISSBs:</w:t>
      </w:r>
    </w:p>
    <w:p w:rsidR="00867DCD" w:rsidRPr="00C0373D" w:rsidRDefault="00DD4A14" w:rsidP="000F586F">
      <w:pPr>
        <w:numPr>
          <w:ilvl w:val="0"/>
          <w:numId w:val="16"/>
        </w:numPr>
        <w:spacing w:after="0" w:line="240" w:lineRule="auto"/>
        <w:ind w:left="284" w:right="95" w:firstLine="0"/>
        <w:contextualSpacing/>
        <w:jc w:val="both"/>
        <w:rPr>
          <w:rFonts w:ascii="Avenir" w:hAnsi="Avenir" w:cstheme="minorHAnsi"/>
        </w:rPr>
      </w:pPr>
      <w:r w:rsidRPr="00C0373D">
        <w:rPr>
          <w:rFonts w:ascii="Avenir" w:eastAsia="MS Mincho" w:hAnsi="Avenir" w:cstheme="minorHAnsi"/>
          <w:lang w:val="en-US"/>
        </w:rPr>
        <w:t xml:space="preserve">The largest CO2 reductions are from </w:t>
      </w:r>
      <w:r w:rsidRPr="00C0373D">
        <w:rPr>
          <w:rFonts w:ascii="Avenir" w:eastAsia="MS Mincho" w:hAnsi="Avenir" w:cstheme="minorHAnsi"/>
          <w:u w:val="single"/>
          <w:lang w:val="en-US"/>
        </w:rPr>
        <w:t>not</w:t>
      </w:r>
      <w:r w:rsidRPr="00C0373D">
        <w:rPr>
          <w:rFonts w:ascii="Avenir" w:eastAsia="MS Mincho" w:hAnsi="Avenir" w:cstheme="minorHAnsi"/>
          <w:lang w:val="en-US"/>
        </w:rPr>
        <w:t xml:space="preserve"> burning bricks in the traditional way. For the production of each traditionally burnt brick an amount of 0.68 kgCO2 per brick has been used as conservative average in carbon offset </w:t>
      </w:r>
      <w:r w:rsidR="00560EEA" w:rsidRPr="00C0373D">
        <w:rPr>
          <w:rFonts w:ascii="Avenir" w:eastAsia="MS Mincho" w:hAnsi="Avenir" w:cstheme="minorHAnsi"/>
          <w:lang w:val="en-US"/>
        </w:rPr>
        <w:t>projects</w:t>
      </w:r>
      <w:r w:rsidRPr="00C0373D">
        <w:rPr>
          <w:rFonts w:ascii="Avenir" w:eastAsia="MS Mincho" w:hAnsi="Avenir" w:cstheme="minorHAnsi"/>
          <w:vertAlign w:val="superscript"/>
          <w:lang w:val="en-US"/>
        </w:rPr>
        <w:footnoteReference w:id="10"/>
      </w:r>
      <w:r w:rsidR="006E3F86" w:rsidRPr="00C0373D">
        <w:rPr>
          <w:rFonts w:ascii="Avenir" w:eastAsia="MS Mincho" w:hAnsi="Avenir" w:cstheme="minorHAnsi"/>
          <w:lang w:val="en-US"/>
        </w:rPr>
        <w:t>. The choice o</w:t>
      </w:r>
      <w:r w:rsidRPr="00C0373D">
        <w:rPr>
          <w:rFonts w:ascii="Avenir" w:eastAsia="MS Mincho" w:hAnsi="Avenir" w:cstheme="minorHAnsi"/>
          <w:lang w:val="en-US"/>
        </w:rPr>
        <w:t xml:space="preserve">f using ISSB </w:t>
      </w:r>
      <w:r w:rsidR="00470F32">
        <w:rPr>
          <w:rFonts w:ascii="Avenir" w:eastAsia="MS Mincho" w:hAnsi="Avenir" w:cstheme="minorHAnsi"/>
          <w:lang w:val="en-US"/>
        </w:rPr>
        <w:t xml:space="preserve">over burnt bricks </w:t>
      </w:r>
      <w:r w:rsidRPr="00C0373D">
        <w:rPr>
          <w:rFonts w:ascii="Avenir" w:eastAsia="MS Mincho" w:hAnsi="Avenir" w:cstheme="minorHAnsi"/>
          <w:lang w:val="en-US"/>
        </w:rPr>
        <w:t xml:space="preserve">leads to a reduction of CO2 emissions of 30tCO2 per hostel. </w:t>
      </w:r>
    </w:p>
    <w:p w:rsidR="00DD4A14" w:rsidRPr="00C0373D" w:rsidRDefault="00DD4A14" w:rsidP="000F586F">
      <w:pPr>
        <w:ind w:left="284" w:right="95"/>
        <w:jc w:val="both"/>
        <w:rPr>
          <w:rFonts w:ascii="Avenir" w:hAnsi="Avenir" w:cstheme="minorHAnsi"/>
        </w:rPr>
      </w:pPr>
    </w:p>
    <w:p w:rsidR="00DD4A14" w:rsidRPr="00C0373D" w:rsidRDefault="00DD4A14" w:rsidP="000F586F">
      <w:pPr>
        <w:numPr>
          <w:ilvl w:val="0"/>
          <w:numId w:val="16"/>
        </w:numPr>
        <w:spacing w:after="0" w:line="240" w:lineRule="auto"/>
        <w:ind w:left="284" w:right="95" w:firstLine="0"/>
        <w:contextualSpacing/>
        <w:jc w:val="both"/>
        <w:rPr>
          <w:rFonts w:ascii="Avenir" w:eastAsia="MS Mincho" w:hAnsi="Avenir" w:cstheme="minorHAnsi"/>
          <w:lang w:val="en-US"/>
        </w:rPr>
      </w:pPr>
      <w:r w:rsidRPr="00C0373D">
        <w:rPr>
          <w:rFonts w:ascii="Avenir" w:eastAsia="MS Mincho" w:hAnsi="Avenir" w:cstheme="minorHAnsi"/>
          <w:lang w:val="en-US"/>
        </w:rPr>
        <w:t>The second large reduction</w:t>
      </w:r>
      <w:r w:rsidR="00560EEA" w:rsidRPr="00C0373D">
        <w:rPr>
          <w:rFonts w:ascii="Avenir" w:eastAsia="MS Mincho" w:hAnsi="Avenir" w:cstheme="minorHAnsi"/>
          <w:lang w:val="en-US"/>
        </w:rPr>
        <w:t xml:space="preserve"> of CO2 emissions</w:t>
      </w:r>
      <w:r w:rsidRPr="00C0373D">
        <w:rPr>
          <w:rFonts w:ascii="Avenir" w:eastAsia="MS Mincho" w:hAnsi="Avenir" w:cstheme="minorHAnsi"/>
          <w:lang w:val="en-US"/>
        </w:rPr>
        <w:t xml:space="preserve"> is the saved amount of cement used in ISSB production versus both concrete blocks and traditionally burnt bricks, representing between </w:t>
      </w:r>
      <w:r w:rsidR="006E3F86" w:rsidRPr="00C0373D">
        <w:rPr>
          <w:rFonts w:ascii="Avenir" w:eastAsia="MS Mincho" w:hAnsi="Avenir" w:cstheme="minorHAnsi"/>
          <w:lang w:val="en-US"/>
        </w:rPr>
        <w:t>1</w:t>
      </w:r>
      <w:r w:rsidRPr="00C0373D">
        <w:rPr>
          <w:rFonts w:ascii="Avenir" w:eastAsia="MS Mincho" w:hAnsi="Avenir" w:cstheme="minorHAnsi"/>
          <w:lang w:val="en-US"/>
        </w:rPr>
        <w:t>1</w:t>
      </w:r>
      <w:r w:rsidR="006E3F86" w:rsidRPr="00C0373D">
        <w:rPr>
          <w:rFonts w:ascii="Avenir" w:eastAsia="MS Mincho" w:hAnsi="Avenir" w:cstheme="minorHAnsi"/>
          <w:lang w:val="en-US"/>
        </w:rPr>
        <w:t xml:space="preserve"> – 13.5</w:t>
      </w:r>
      <w:r w:rsidRPr="00C0373D">
        <w:rPr>
          <w:rFonts w:ascii="Avenir" w:eastAsia="MS Mincho" w:hAnsi="Avenir" w:cstheme="minorHAnsi"/>
          <w:lang w:val="en-US"/>
        </w:rPr>
        <w:t xml:space="preserve">tCO2 emissions per hostel, </w:t>
      </w:r>
      <w:r w:rsidR="00470F32">
        <w:rPr>
          <w:rFonts w:ascii="Avenir" w:eastAsia="MS Mincho" w:hAnsi="Avenir" w:cstheme="minorHAnsi"/>
          <w:lang w:val="en-US"/>
        </w:rPr>
        <w:t>usi</w:t>
      </w:r>
      <w:r w:rsidRPr="00C0373D">
        <w:rPr>
          <w:rFonts w:ascii="Avenir" w:eastAsia="MS Mincho" w:hAnsi="Avenir" w:cstheme="minorHAnsi"/>
          <w:lang w:val="en-US"/>
        </w:rPr>
        <w:t>ng Lyra’s current cement use.</w:t>
      </w:r>
    </w:p>
    <w:p w:rsidR="00DD4A14" w:rsidRPr="00C0373D" w:rsidRDefault="00DD4A14" w:rsidP="000F586F">
      <w:pPr>
        <w:spacing w:after="0" w:line="240" w:lineRule="auto"/>
        <w:ind w:left="284" w:right="95"/>
        <w:contextualSpacing/>
        <w:jc w:val="both"/>
        <w:rPr>
          <w:rFonts w:ascii="Avenir" w:eastAsia="MS Mincho" w:hAnsi="Avenir" w:cstheme="minorHAnsi"/>
          <w:lang w:val="en-US"/>
        </w:rPr>
      </w:pPr>
    </w:p>
    <w:p w:rsidR="00867DCD" w:rsidRPr="00C0373D" w:rsidRDefault="00DD4A14" w:rsidP="000F586F">
      <w:pPr>
        <w:ind w:left="284" w:right="95"/>
        <w:jc w:val="both"/>
        <w:rPr>
          <w:rFonts w:ascii="Avenir" w:hAnsi="Avenir" w:cstheme="minorHAnsi"/>
        </w:rPr>
      </w:pPr>
      <w:r w:rsidRPr="00C0373D">
        <w:rPr>
          <w:rFonts w:ascii="Avenir" w:hAnsi="Avenir" w:cstheme="minorHAnsi"/>
        </w:rPr>
        <w:t>There are additional environmental costs of GHG</w:t>
      </w:r>
      <w:r w:rsidR="00FE3658" w:rsidRPr="00C0373D">
        <w:rPr>
          <w:rFonts w:ascii="Avenir" w:hAnsi="Avenir" w:cstheme="minorHAnsi"/>
        </w:rPr>
        <w:t>s</w:t>
      </w:r>
      <w:r w:rsidRPr="00C0373D">
        <w:rPr>
          <w:rFonts w:ascii="Avenir" w:hAnsi="Avenir" w:cstheme="minorHAnsi"/>
        </w:rPr>
        <w:t xml:space="preserve"> that we have not calculated, such as the impact of deforestation for burning traditional bricks and the amount of the very potent N2O that is released in the burning of wood. The large quantities of firewood needed for firing bricks contributes to deforestation, which also affects biodiversity. It contributes to air pollution, soil erosion and degradation, desertification of the landscape, and reduces available fuel sources for other human activities. In agricultural regions,</w:t>
      </w:r>
      <w:r w:rsidR="00796304" w:rsidRPr="00C0373D">
        <w:rPr>
          <w:rFonts w:ascii="Avenir" w:hAnsi="Avenir" w:cstheme="minorHAnsi"/>
        </w:rPr>
        <w:t xml:space="preserve"> </w:t>
      </w:r>
      <w:r w:rsidR="00717838" w:rsidRPr="00C0373D">
        <w:rPr>
          <w:rFonts w:ascii="Avenir" w:hAnsi="Avenir" w:cstheme="minorHAnsi"/>
        </w:rPr>
        <w:t xml:space="preserve">such as where Lyra works, </w:t>
      </w:r>
      <w:r w:rsidRPr="00C0373D">
        <w:rPr>
          <w:rFonts w:ascii="Avenir" w:hAnsi="Avenir" w:cstheme="minorHAnsi"/>
        </w:rPr>
        <w:t>these consequences are especially detrimental and can contribute to food crisis.</w:t>
      </w:r>
    </w:p>
    <w:p w:rsidR="00867DCD" w:rsidRPr="00C0373D" w:rsidRDefault="00867DCD" w:rsidP="000F586F">
      <w:pPr>
        <w:ind w:left="284" w:right="95"/>
        <w:jc w:val="both"/>
        <w:rPr>
          <w:rFonts w:ascii="Avenir" w:hAnsi="Avenir" w:cstheme="minorHAnsi"/>
        </w:rPr>
      </w:pPr>
    </w:p>
    <w:p w:rsidR="00623238" w:rsidRPr="00C0373D" w:rsidRDefault="00A86718" w:rsidP="000F586F">
      <w:pPr>
        <w:spacing w:after="200" w:line="276" w:lineRule="auto"/>
        <w:ind w:left="284" w:right="95"/>
        <w:jc w:val="both"/>
        <w:rPr>
          <w:rFonts w:ascii="Avenir" w:eastAsia="Times New Roman" w:hAnsi="Avenir" w:cs="Calibri"/>
          <w:b/>
          <w:sz w:val="24"/>
          <w:szCs w:val="24"/>
          <w:lang w:eastAsia="en-GB"/>
        </w:rPr>
      </w:pPr>
      <w:r w:rsidRPr="00C0373D">
        <w:rPr>
          <w:rFonts w:ascii="Avenir" w:eastAsia="Times New Roman" w:hAnsi="Avenir" w:cs="Calibri"/>
          <w:b/>
          <w:sz w:val="24"/>
          <w:szCs w:val="24"/>
          <w:lang w:eastAsia="en-GB"/>
        </w:rPr>
        <w:t>5</w:t>
      </w:r>
      <w:r w:rsidR="00DD4A14" w:rsidRPr="00C0373D">
        <w:rPr>
          <w:rFonts w:ascii="Avenir" w:eastAsia="Times New Roman" w:hAnsi="Avenir" w:cs="Calibri"/>
          <w:b/>
          <w:sz w:val="24"/>
          <w:szCs w:val="24"/>
          <w:lang w:eastAsia="en-GB"/>
        </w:rPr>
        <w:t xml:space="preserve">. </w:t>
      </w:r>
      <w:r w:rsidR="00164747" w:rsidRPr="00C0373D">
        <w:rPr>
          <w:rFonts w:ascii="Avenir" w:eastAsia="Times New Roman" w:hAnsi="Avenir" w:cs="Calibri"/>
          <w:b/>
          <w:sz w:val="24"/>
          <w:szCs w:val="24"/>
          <w:lang w:eastAsia="en-GB"/>
        </w:rPr>
        <w:t xml:space="preserve">What have we learned through the development and implementation of this project? </w:t>
      </w:r>
    </w:p>
    <w:p w:rsidR="00164747" w:rsidRPr="00C0373D" w:rsidRDefault="00164747" w:rsidP="000F586F">
      <w:pPr>
        <w:spacing w:after="200" w:line="276" w:lineRule="auto"/>
        <w:ind w:left="284" w:right="95"/>
        <w:jc w:val="both"/>
        <w:rPr>
          <w:rFonts w:ascii="Avenir" w:eastAsia="Times New Roman" w:hAnsi="Avenir" w:cs="Calibri"/>
          <w:bCs/>
          <w:lang w:eastAsia="en-GB"/>
        </w:rPr>
      </w:pPr>
      <w:r w:rsidRPr="00C0373D">
        <w:rPr>
          <w:rFonts w:ascii="Avenir" w:eastAsia="Times New Roman" w:hAnsi="Avenir" w:cs="Calibri"/>
          <w:bCs/>
          <w:lang w:eastAsia="en-GB"/>
        </w:rPr>
        <w:t xml:space="preserve">Our learnings have been informed by the evidence and experience of all stakeholders, including the girls who have lived in the hostels, teachers, local communities and people involved with the construction of the hostels. </w:t>
      </w:r>
    </w:p>
    <w:p w:rsidR="00717838" w:rsidRPr="00C0373D" w:rsidRDefault="00164747" w:rsidP="000F586F">
      <w:pPr>
        <w:spacing w:after="200" w:line="276" w:lineRule="auto"/>
        <w:ind w:left="284" w:right="95"/>
        <w:jc w:val="both"/>
        <w:rPr>
          <w:rFonts w:ascii="Avenir" w:hAnsi="Avenir" w:cs="Calibri"/>
          <w:b/>
          <w:bCs/>
          <w:sz w:val="24"/>
          <w:szCs w:val="24"/>
        </w:rPr>
      </w:pPr>
      <w:r w:rsidRPr="00C0373D">
        <w:rPr>
          <w:rFonts w:ascii="Avenir" w:hAnsi="Avenir" w:cs="Calibri"/>
          <w:b/>
          <w:bCs/>
          <w:sz w:val="24"/>
          <w:szCs w:val="24"/>
        </w:rPr>
        <w:t xml:space="preserve">Safety and well-being for the girls: </w:t>
      </w:r>
    </w:p>
    <w:p w:rsidR="00867DCD" w:rsidRPr="00C0373D" w:rsidRDefault="00717838" w:rsidP="000F586F">
      <w:pPr>
        <w:spacing w:after="200" w:line="276" w:lineRule="auto"/>
        <w:ind w:left="284" w:right="95"/>
        <w:jc w:val="both"/>
        <w:rPr>
          <w:rFonts w:ascii="Avenir" w:hAnsi="Avenir" w:cs="Calibri"/>
          <w:b/>
          <w:bCs/>
        </w:rPr>
      </w:pPr>
      <w:r w:rsidRPr="00C0373D">
        <w:rPr>
          <w:rFonts w:ascii="Avenir" w:hAnsi="Avenir" w:cs="Calibri"/>
          <w:b/>
          <w:bCs/>
        </w:rPr>
        <w:t xml:space="preserve">In addition to the evidence presented earlier on pregnancies, drop-outs and better academic performance, </w:t>
      </w:r>
      <w:r w:rsidRPr="00C0373D">
        <w:rPr>
          <w:rFonts w:ascii="Avenir" w:hAnsi="Avenir" w:cs="Calibri"/>
          <w:color w:val="000000" w:themeColor="text1"/>
        </w:rPr>
        <w:t>a</w:t>
      </w:r>
      <w:r w:rsidR="00164747" w:rsidRPr="00C0373D">
        <w:rPr>
          <w:rFonts w:ascii="Avenir" w:hAnsi="Avenir" w:cs="Calibri"/>
          <w:color w:val="000000" w:themeColor="text1"/>
        </w:rPr>
        <w:t>nec</w:t>
      </w:r>
      <w:r w:rsidR="00FE3658" w:rsidRPr="00C0373D">
        <w:rPr>
          <w:rFonts w:ascii="Avenir" w:hAnsi="Avenir" w:cs="Calibri"/>
          <w:color w:val="000000" w:themeColor="text1"/>
        </w:rPr>
        <w:t>dotal evidence suggests that</w:t>
      </w:r>
      <w:r w:rsidR="00164747" w:rsidRPr="00C0373D">
        <w:rPr>
          <w:rFonts w:ascii="Avenir" w:hAnsi="Avenir" w:cs="Calibri"/>
          <w:color w:val="000000" w:themeColor="text1"/>
        </w:rPr>
        <w:t xml:space="preserve"> </w:t>
      </w:r>
      <w:r w:rsidR="00164747" w:rsidRPr="00C0373D">
        <w:rPr>
          <w:rFonts w:ascii="Avenir" w:hAnsi="Avenir" w:cs="Calibri"/>
        </w:rPr>
        <w:t xml:space="preserve">girls love having their own space and report better well-being, </w:t>
      </w:r>
      <w:r w:rsidR="00560EEA" w:rsidRPr="00C0373D">
        <w:rPr>
          <w:rFonts w:ascii="Avenir" w:hAnsi="Avenir" w:cs="Calibri"/>
        </w:rPr>
        <w:t xml:space="preserve">mental health and </w:t>
      </w:r>
      <w:r w:rsidR="00164747" w:rsidRPr="00C0373D">
        <w:rPr>
          <w:rFonts w:ascii="Avenir" w:hAnsi="Avenir" w:cs="Calibri"/>
        </w:rPr>
        <w:t>enjoy the interaction and learning with their peer group</w:t>
      </w:r>
      <w:r w:rsidR="00FE3658" w:rsidRPr="00C0373D">
        <w:rPr>
          <w:rFonts w:ascii="Avenir" w:hAnsi="Avenir" w:cs="Calibri"/>
        </w:rPr>
        <w:t>:</w:t>
      </w:r>
    </w:p>
    <w:p w:rsidR="00FE3658" w:rsidRPr="00C0373D" w:rsidRDefault="00E708BB" w:rsidP="006C7AE6">
      <w:pPr>
        <w:pStyle w:val="ListParagraph"/>
        <w:numPr>
          <w:ilvl w:val="0"/>
          <w:numId w:val="7"/>
        </w:numPr>
        <w:spacing w:after="200" w:line="276" w:lineRule="auto"/>
        <w:ind w:left="709" w:right="95" w:hanging="425"/>
        <w:jc w:val="both"/>
        <w:rPr>
          <w:rFonts w:ascii="Avenir" w:hAnsi="Avenir" w:cs="Calibri"/>
        </w:rPr>
      </w:pPr>
      <w:r w:rsidRPr="00C0373D">
        <w:rPr>
          <w:rFonts w:ascii="Avenir" w:hAnsi="Avenir" w:cs="Calibri"/>
        </w:rPr>
        <w:t xml:space="preserve">Matrons in each Hostel take both a leadership and motherly role, which makes a big difference in the lives of the girls. </w:t>
      </w:r>
      <w:r w:rsidR="003358A3" w:rsidRPr="00C0373D">
        <w:rPr>
          <w:rFonts w:ascii="Avenir" w:hAnsi="Avenir" w:cs="Calibri"/>
        </w:rPr>
        <w:t xml:space="preserve"> </w:t>
      </w:r>
    </w:p>
    <w:p w:rsidR="00867DCD" w:rsidRPr="00C0373D" w:rsidRDefault="00164747" w:rsidP="006C7AE6">
      <w:pPr>
        <w:pStyle w:val="ListParagraph"/>
        <w:numPr>
          <w:ilvl w:val="0"/>
          <w:numId w:val="7"/>
        </w:numPr>
        <w:spacing w:after="200" w:line="276" w:lineRule="auto"/>
        <w:ind w:left="709" w:right="95" w:hanging="425"/>
        <w:jc w:val="both"/>
        <w:rPr>
          <w:rFonts w:ascii="Avenir" w:hAnsi="Avenir" w:cs="Calibri"/>
        </w:rPr>
      </w:pPr>
      <w:r w:rsidRPr="00C0373D">
        <w:rPr>
          <w:rFonts w:ascii="Avenir" w:hAnsi="Avenir" w:cs="Calibri"/>
        </w:rPr>
        <w:lastRenderedPageBreak/>
        <w:t xml:space="preserve">Creating community-led, aspirational hostels with innovative design make the girls excited </w:t>
      </w:r>
      <w:r w:rsidR="00D214F5" w:rsidRPr="00C0373D">
        <w:rPr>
          <w:rFonts w:ascii="Avenir" w:hAnsi="Avenir" w:cs="Calibri"/>
        </w:rPr>
        <w:t>and a</w:t>
      </w:r>
      <w:r w:rsidR="00560EEA" w:rsidRPr="00C0373D">
        <w:rPr>
          <w:rFonts w:ascii="Avenir" w:hAnsi="Avenir" w:cs="Calibri"/>
        </w:rPr>
        <w:t>dds a</w:t>
      </w:r>
      <w:r w:rsidR="00D214F5" w:rsidRPr="00C0373D">
        <w:rPr>
          <w:rFonts w:ascii="Avenir" w:hAnsi="Avenir" w:cs="Calibri"/>
        </w:rPr>
        <w:t xml:space="preserve"> new p</w:t>
      </w:r>
      <w:r w:rsidR="00FE3658" w:rsidRPr="00C0373D">
        <w:rPr>
          <w:rFonts w:ascii="Avenir" w:hAnsi="Avenir" w:cs="Calibri"/>
        </w:rPr>
        <w:t>athway</w:t>
      </w:r>
      <w:r w:rsidR="00D214F5" w:rsidRPr="00C0373D">
        <w:rPr>
          <w:rFonts w:ascii="Avenir" w:hAnsi="Avenir" w:cs="Calibri"/>
        </w:rPr>
        <w:t xml:space="preserve"> for better learning</w:t>
      </w:r>
      <w:r w:rsidR="00FE3658" w:rsidRPr="00C0373D">
        <w:rPr>
          <w:rFonts w:ascii="Avenir" w:hAnsi="Avenir" w:cs="Calibri"/>
        </w:rPr>
        <w:t>.</w:t>
      </w:r>
    </w:p>
    <w:p w:rsidR="00FE3658" w:rsidRPr="00C0373D" w:rsidRDefault="00FE3658" w:rsidP="006C7AE6">
      <w:pPr>
        <w:pStyle w:val="ListParagraph"/>
        <w:numPr>
          <w:ilvl w:val="0"/>
          <w:numId w:val="7"/>
        </w:numPr>
        <w:spacing w:after="200" w:line="276" w:lineRule="auto"/>
        <w:ind w:left="709" w:right="95" w:hanging="425"/>
        <w:jc w:val="both"/>
        <w:rPr>
          <w:rFonts w:ascii="Avenir" w:hAnsi="Avenir" w:cs="Calibri"/>
        </w:rPr>
      </w:pPr>
      <w:r w:rsidRPr="00C0373D">
        <w:rPr>
          <w:rFonts w:ascii="Avenir" w:hAnsi="Avenir" w:cs="Calibri"/>
        </w:rPr>
        <w:t>The Ministry of Education approved hostel building (“the Government hostel design, see appendix 2) is a long corridor consisting of 20 rooms with latrines and showers. In contrast, the Lyra design provides spaces for girls to relax, study, and feel at home and very safe.</w:t>
      </w:r>
    </w:p>
    <w:p w:rsidR="00867DCD" w:rsidRPr="00C0373D" w:rsidRDefault="00123C71" w:rsidP="006C7AE6">
      <w:pPr>
        <w:pStyle w:val="ListParagraph"/>
        <w:numPr>
          <w:ilvl w:val="0"/>
          <w:numId w:val="7"/>
        </w:numPr>
        <w:spacing w:after="200" w:line="276" w:lineRule="auto"/>
        <w:ind w:left="709" w:right="95" w:hanging="425"/>
        <w:jc w:val="both"/>
        <w:rPr>
          <w:rFonts w:ascii="Avenir" w:hAnsi="Avenir" w:cs="Calibri"/>
        </w:rPr>
      </w:pPr>
      <w:r w:rsidRPr="00C0373D">
        <w:rPr>
          <w:rFonts w:ascii="Avenir" w:hAnsi="Avenir" w:cs="Calibri"/>
        </w:rPr>
        <w:t xml:space="preserve">Solar </w:t>
      </w:r>
      <w:r w:rsidR="00E708BB" w:rsidRPr="00C0373D">
        <w:rPr>
          <w:rFonts w:ascii="Avenir" w:hAnsi="Avenir" w:cs="Calibri"/>
        </w:rPr>
        <w:t xml:space="preserve">or grid </w:t>
      </w:r>
      <w:r w:rsidRPr="00C0373D">
        <w:rPr>
          <w:rFonts w:ascii="Avenir" w:hAnsi="Avenir" w:cs="Calibri"/>
        </w:rPr>
        <w:t>power is essential for the girls to feel safe at night and be able to study after dark.</w:t>
      </w:r>
    </w:p>
    <w:p w:rsidR="00D214F5" w:rsidRPr="00C0373D" w:rsidRDefault="00D214F5" w:rsidP="000F586F">
      <w:pPr>
        <w:spacing w:after="200" w:line="276" w:lineRule="auto"/>
        <w:ind w:left="284" w:right="95"/>
        <w:jc w:val="both"/>
        <w:rPr>
          <w:rFonts w:ascii="Avenir" w:eastAsia="Times New Roman" w:hAnsi="Avenir" w:cs="Calibri"/>
          <w:b/>
          <w:sz w:val="24"/>
          <w:szCs w:val="24"/>
          <w:lang w:eastAsia="en-GB"/>
        </w:rPr>
      </w:pPr>
      <w:r w:rsidRPr="00C0373D">
        <w:rPr>
          <w:rFonts w:ascii="Avenir" w:eastAsia="Times New Roman" w:hAnsi="Avenir" w:cs="Calibri"/>
          <w:b/>
          <w:sz w:val="24"/>
          <w:szCs w:val="24"/>
          <w:lang w:eastAsia="en-GB"/>
        </w:rPr>
        <w:t>Community and government engagement</w:t>
      </w:r>
    </w:p>
    <w:p w:rsidR="00D214F5" w:rsidRPr="00C0373D" w:rsidRDefault="00884FEE" w:rsidP="006C7AE6">
      <w:pPr>
        <w:pStyle w:val="ListParagraph"/>
        <w:numPr>
          <w:ilvl w:val="0"/>
          <w:numId w:val="11"/>
        </w:numPr>
        <w:ind w:left="709" w:right="95" w:hanging="425"/>
        <w:rPr>
          <w:rFonts w:ascii="Avenir" w:eastAsia="Times New Roman" w:hAnsi="Avenir" w:cstheme="minorHAnsi"/>
          <w:bCs/>
          <w:lang w:eastAsia="en-GB"/>
        </w:rPr>
      </w:pPr>
      <w:r w:rsidRPr="00C0373D">
        <w:rPr>
          <w:rFonts w:ascii="Avenir" w:eastAsia="Times New Roman" w:hAnsi="Avenir" w:cstheme="minorHAnsi"/>
          <w:bCs/>
          <w:lang w:eastAsia="en-GB"/>
        </w:rPr>
        <w:t xml:space="preserve">Local </w:t>
      </w:r>
      <w:r w:rsidR="004B6102" w:rsidRPr="00C0373D">
        <w:rPr>
          <w:rFonts w:ascii="Avenir" w:eastAsia="Times New Roman" w:hAnsi="Avenir" w:cstheme="minorHAnsi"/>
          <w:bCs/>
          <w:lang w:eastAsia="en-GB"/>
        </w:rPr>
        <w:t>Government</w:t>
      </w:r>
      <w:r w:rsidRPr="00C0373D">
        <w:rPr>
          <w:rFonts w:ascii="Avenir" w:eastAsia="Times New Roman" w:hAnsi="Avenir" w:cstheme="minorHAnsi"/>
          <w:bCs/>
          <w:lang w:eastAsia="en-GB"/>
        </w:rPr>
        <w:t xml:space="preserve"> </w:t>
      </w:r>
      <w:r w:rsidR="000022B3" w:rsidRPr="00C0373D">
        <w:rPr>
          <w:rFonts w:ascii="Avenir" w:eastAsia="Times New Roman" w:hAnsi="Avenir" w:cstheme="minorHAnsi"/>
          <w:bCs/>
          <w:lang w:eastAsia="en-GB"/>
        </w:rPr>
        <w:t xml:space="preserve">(Iringa Region) </w:t>
      </w:r>
      <w:r w:rsidR="00D214F5" w:rsidRPr="00C0373D">
        <w:rPr>
          <w:rFonts w:ascii="Avenir" w:eastAsia="Times New Roman" w:hAnsi="Avenir" w:cstheme="minorHAnsi"/>
          <w:bCs/>
          <w:lang w:eastAsia="en-GB"/>
        </w:rPr>
        <w:t xml:space="preserve">endorsement and </w:t>
      </w:r>
      <w:r w:rsidR="00FE3658" w:rsidRPr="00C0373D">
        <w:rPr>
          <w:rFonts w:ascii="Avenir" w:eastAsia="Times New Roman" w:hAnsi="Avenir" w:cstheme="minorHAnsi"/>
          <w:bCs/>
          <w:lang w:eastAsia="en-GB"/>
        </w:rPr>
        <w:t>support</w:t>
      </w:r>
      <w:r w:rsidR="00D214F5" w:rsidRPr="00C0373D">
        <w:rPr>
          <w:rFonts w:ascii="Avenir" w:eastAsia="Times New Roman" w:hAnsi="Avenir" w:cstheme="minorHAnsi"/>
          <w:bCs/>
          <w:lang w:eastAsia="en-GB"/>
        </w:rPr>
        <w:t xml:space="preserve"> for the Lyra </w:t>
      </w:r>
      <w:r w:rsidR="00714BAC" w:rsidRPr="00C0373D">
        <w:rPr>
          <w:rFonts w:ascii="Avenir" w:eastAsia="Times New Roman" w:hAnsi="Avenir" w:cstheme="minorHAnsi"/>
          <w:bCs/>
          <w:lang w:eastAsia="en-GB"/>
        </w:rPr>
        <w:t>model</w:t>
      </w:r>
      <w:r w:rsidR="00FE3658" w:rsidRPr="00C0373D">
        <w:rPr>
          <w:rFonts w:ascii="Avenir" w:eastAsia="Times New Roman" w:hAnsi="Avenir" w:cstheme="minorHAnsi"/>
          <w:bCs/>
          <w:lang w:eastAsia="en-GB"/>
        </w:rPr>
        <w:t xml:space="preserve"> has been in place since 2018.</w:t>
      </w:r>
      <w:r w:rsidR="000022B3" w:rsidRPr="00C0373D">
        <w:rPr>
          <w:rFonts w:ascii="Avenir" w:eastAsia="Times New Roman" w:hAnsi="Avenir" w:cstheme="minorHAnsi"/>
          <w:bCs/>
          <w:lang w:eastAsia="en-GB"/>
        </w:rPr>
        <w:t xml:space="preserve"> </w:t>
      </w:r>
      <w:r w:rsidR="003D60AB" w:rsidRPr="00C0373D">
        <w:rPr>
          <w:rFonts w:ascii="Avenir" w:eastAsia="Times New Roman" w:hAnsi="Avenir" w:cstheme="minorHAnsi"/>
          <w:bCs/>
          <w:lang w:eastAsia="en-GB"/>
        </w:rPr>
        <w:t>T</w:t>
      </w:r>
      <w:r w:rsidR="00BE24C2" w:rsidRPr="00C0373D">
        <w:rPr>
          <w:rFonts w:ascii="Avenir" w:eastAsia="Times New Roman" w:hAnsi="Avenir" w:cstheme="minorHAnsi"/>
          <w:bCs/>
          <w:lang w:eastAsia="en-GB"/>
        </w:rPr>
        <w:t>he great milestone for Lyra was i</w:t>
      </w:r>
      <w:r w:rsidR="000022B3" w:rsidRPr="00C0373D">
        <w:rPr>
          <w:rFonts w:ascii="Avenir" w:eastAsia="Times New Roman" w:hAnsi="Avenir" w:cstheme="minorHAnsi"/>
          <w:bCs/>
          <w:lang w:eastAsia="en-GB"/>
        </w:rPr>
        <w:t xml:space="preserve">n October 2019, </w:t>
      </w:r>
      <w:r w:rsidR="00BE24C2" w:rsidRPr="00C0373D">
        <w:rPr>
          <w:rFonts w:ascii="Avenir" w:eastAsia="Times New Roman" w:hAnsi="Avenir" w:cstheme="minorHAnsi"/>
          <w:bCs/>
          <w:lang w:eastAsia="en-GB"/>
        </w:rPr>
        <w:t xml:space="preserve">when </w:t>
      </w:r>
      <w:r w:rsidR="000022B3" w:rsidRPr="00C0373D">
        <w:rPr>
          <w:rFonts w:ascii="Avenir" w:eastAsia="Times New Roman" w:hAnsi="Avenir" w:cstheme="minorHAnsi"/>
          <w:bCs/>
          <w:lang w:eastAsia="en-GB"/>
        </w:rPr>
        <w:t xml:space="preserve">the Ministry of Education endorsed </w:t>
      </w:r>
      <w:r w:rsidR="003D60AB" w:rsidRPr="00C0373D">
        <w:rPr>
          <w:rFonts w:ascii="Avenir" w:eastAsia="Times New Roman" w:hAnsi="Avenir" w:cstheme="minorHAnsi"/>
          <w:bCs/>
          <w:lang w:eastAsia="en-GB"/>
        </w:rPr>
        <w:t xml:space="preserve">Lyra’s green low-carbon design. </w:t>
      </w:r>
      <w:r w:rsidR="00622AB2" w:rsidRPr="00C0373D">
        <w:rPr>
          <w:rFonts w:ascii="Avenir" w:eastAsia="Times New Roman" w:hAnsi="Avenir" w:cstheme="minorHAnsi"/>
          <w:bCs/>
          <w:lang w:eastAsia="en-GB"/>
        </w:rPr>
        <w:t xml:space="preserve">All local governments have committed to </w:t>
      </w:r>
      <w:r w:rsidR="002103EB" w:rsidRPr="00C0373D">
        <w:rPr>
          <w:rFonts w:ascii="Avenir" w:eastAsia="Times New Roman" w:hAnsi="Avenir" w:cstheme="minorHAnsi"/>
          <w:bCs/>
          <w:lang w:eastAsia="en-GB"/>
        </w:rPr>
        <w:t xml:space="preserve">fund </w:t>
      </w:r>
      <w:r w:rsidR="00622AB2" w:rsidRPr="00C0373D">
        <w:rPr>
          <w:rFonts w:ascii="Avenir" w:eastAsia="Times New Roman" w:hAnsi="Avenir" w:cstheme="minorHAnsi"/>
          <w:bCs/>
          <w:lang w:eastAsia="en-GB"/>
        </w:rPr>
        <w:t xml:space="preserve">at least 10% of the </w:t>
      </w:r>
      <w:r w:rsidR="002103EB" w:rsidRPr="00C0373D">
        <w:rPr>
          <w:rFonts w:ascii="Avenir" w:eastAsia="Times New Roman" w:hAnsi="Avenir" w:cstheme="minorHAnsi"/>
          <w:bCs/>
          <w:lang w:eastAsia="en-GB"/>
        </w:rPr>
        <w:t>hostel construction</w:t>
      </w:r>
      <w:r w:rsidR="00622AB2" w:rsidRPr="00C0373D">
        <w:rPr>
          <w:rFonts w:ascii="Avenir" w:eastAsia="Times New Roman" w:hAnsi="Avenir" w:cstheme="minorHAnsi"/>
          <w:bCs/>
          <w:lang w:eastAsia="en-GB"/>
        </w:rPr>
        <w:t xml:space="preserve"> cost, </w:t>
      </w:r>
      <w:r w:rsidR="00A357D7" w:rsidRPr="00C0373D">
        <w:rPr>
          <w:rFonts w:ascii="Avenir" w:eastAsia="Times New Roman" w:hAnsi="Avenir" w:cstheme="minorHAnsi"/>
          <w:bCs/>
          <w:lang w:eastAsia="en-GB"/>
        </w:rPr>
        <w:t>and</w:t>
      </w:r>
      <w:r w:rsidR="00622AB2" w:rsidRPr="00C0373D">
        <w:rPr>
          <w:rFonts w:ascii="Avenir" w:eastAsia="Times New Roman" w:hAnsi="Avenir" w:cstheme="minorHAnsi"/>
          <w:bCs/>
          <w:lang w:eastAsia="en-GB"/>
        </w:rPr>
        <w:t xml:space="preserve"> </w:t>
      </w:r>
      <w:r w:rsidR="002103EB" w:rsidRPr="00C0373D">
        <w:rPr>
          <w:rFonts w:ascii="Avenir" w:eastAsia="Times New Roman" w:hAnsi="Avenir" w:cstheme="minorHAnsi"/>
          <w:bCs/>
          <w:lang w:eastAsia="en-GB"/>
        </w:rPr>
        <w:t xml:space="preserve">to provide </w:t>
      </w:r>
      <w:r w:rsidR="00622AB2" w:rsidRPr="00C0373D">
        <w:rPr>
          <w:rFonts w:ascii="Avenir" w:eastAsia="Times New Roman" w:hAnsi="Avenir" w:cstheme="minorHAnsi"/>
          <w:bCs/>
          <w:lang w:eastAsia="en-GB"/>
        </w:rPr>
        <w:t xml:space="preserve">technical supervision by </w:t>
      </w:r>
      <w:r w:rsidR="002103EB" w:rsidRPr="00C0373D">
        <w:rPr>
          <w:rFonts w:ascii="Avenir" w:eastAsia="Times New Roman" w:hAnsi="Avenir" w:cstheme="minorHAnsi"/>
          <w:bCs/>
          <w:lang w:eastAsia="en-GB"/>
        </w:rPr>
        <w:t>district engineers</w:t>
      </w:r>
      <w:r w:rsidR="00622AB2" w:rsidRPr="00C0373D">
        <w:rPr>
          <w:rFonts w:ascii="Avenir" w:eastAsia="Times New Roman" w:hAnsi="Avenir" w:cstheme="minorHAnsi"/>
          <w:bCs/>
          <w:lang w:eastAsia="en-GB"/>
        </w:rPr>
        <w:t>.</w:t>
      </w:r>
      <w:r w:rsidR="00D214F5" w:rsidRPr="00C0373D">
        <w:rPr>
          <w:rFonts w:ascii="Avenir" w:eastAsia="Times New Roman" w:hAnsi="Avenir" w:cstheme="minorHAnsi"/>
          <w:bCs/>
          <w:lang w:eastAsia="en-GB"/>
        </w:rPr>
        <w:t xml:space="preserve"> </w:t>
      </w:r>
    </w:p>
    <w:p w:rsidR="00E45C85" w:rsidRPr="00C0373D" w:rsidRDefault="00D214F5" w:rsidP="006C7AE6">
      <w:pPr>
        <w:pStyle w:val="ListParagraph"/>
        <w:numPr>
          <w:ilvl w:val="0"/>
          <w:numId w:val="11"/>
        </w:numPr>
        <w:spacing w:after="200" w:line="276" w:lineRule="auto"/>
        <w:ind w:left="709" w:right="95" w:hanging="425"/>
        <w:jc w:val="both"/>
        <w:rPr>
          <w:rFonts w:ascii="Avenir" w:eastAsia="Times New Roman" w:hAnsi="Avenir" w:cstheme="minorHAnsi"/>
          <w:bCs/>
          <w:lang w:eastAsia="en-GB"/>
        </w:rPr>
      </w:pPr>
      <w:r w:rsidRPr="00C0373D">
        <w:rPr>
          <w:rFonts w:ascii="Avenir" w:eastAsia="Times New Roman" w:hAnsi="Avenir" w:cstheme="minorHAnsi"/>
          <w:bCs/>
          <w:lang w:eastAsia="en-GB"/>
        </w:rPr>
        <w:t>The local communities have t</w:t>
      </w:r>
      <w:r w:rsidR="00560EEA" w:rsidRPr="00C0373D">
        <w:rPr>
          <w:rFonts w:ascii="Avenir" w:eastAsia="Times New Roman" w:hAnsi="Avenir" w:cstheme="minorHAnsi"/>
          <w:bCs/>
          <w:lang w:eastAsia="en-GB"/>
        </w:rPr>
        <w:t>aken great pride and ownership o</w:t>
      </w:r>
      <w:r w:rsidRPr="00C0373D">
        <w:rPr>
          <w:rFonts w:ascii="Avenir" w:eastAsia="Times New Roman" w:hAnsi="Avenir" w:cstheme="minorHAnsi"/>
          <w:bCs/>
          <w:lang w:eastAsia="en-GB"/>
        </w:rPr>
        <w:t>f the Lyra hostels</w:t>
      </w:r>
      <w:r w:rsidR="000022B3" w:rsidRPr="00C0373D">
        <w:rPr>
          <w:rFonts w:ascii="Avenir" w:eastAsia="Times New Roman" w:hAnsi="Avenir" w:cstheme="minorHAnsi"/>
          <w:bCs/>
          <w:lang w:eastAsia="en-GB"/>
        </w:rPr>
        <w:t>.</w:t>
      </w:r>
      <w:r w:rsidR="00BE24C2" w:rsidRPr="00C0373D">
        <w:rPr>
          <w:rFonts w:ascii="Avenir" w:eastAsia="Times New Roman" w:hAnsi="Avenir" w:cstheme="minorHAnsi"/>
          <w:bCs/>
          <w:lang w:eastAsia="en-GB"/>
        </w:rPr>
        <w:t xml:space="preserve"> </w:t>
      </w:r>
    </w:p>
    <w:p w:rsidR="00E45C85" w:rsidRPr="00C0373D" w:rsidRDefault="00E45C85" w:rsidP="006C7AE6">
      <w:pPr>
        <w:pStyle w:val="ListParagraph"/>
        <w:numPr>
          <w:ilvl w:val="0"/>
          <w:numId w:val="11"/>
        </w:numPr>
        <w:spacing w:after="200" w:line="276" w:lineRule="auto"/>
        <w:ind w:left="709" w:right="95" w:hanging="425"/>
        <w:jc w:val="both"/>
        <w:rPr>
          <w:rFonts w:ascii="Avenir" w:eastAsia="Times New Roman" w:hAnsi="Avenir" w:cstheme="minorHAnsi"/>
          <w:bCs/>
          <w:lang w:eastAsia="en-GB"/>
        </w:rPr>
      </w:pPr>
      <w:r w:rsidRPr="00C0373D">
        <w:rPr>
          <w:rFonts w:ascii="Avenir" w:eastAsia="Times New Roman" w:hAnsi="Avenir" w:cstheme="minorHAnsi"/>
          <w:bCs/>
          <w:lang w:eastAsia="en-GB"/>
        </w:rPr>
        <w:t>L</w:t>
      </w:r>
      <w:r w:rsidR="00BE24C2" w:rsidRPr="00C0373D">
        <w:rPr>
          <w:rFonts w:ascii="Avenir" w:eastAsia="Times New Roman" w:hAnsi="Avenir" w:cstheme="minorHAnsi"/>
          <w:bCs/>
          <w:lang w:eastAsia="en-GB"/>
        </w:rPr>
        <w:t>ocal masons are trained in a completely new technology for construction</w:t>
      </w:r>
      <w:r w:rsidR="00622AB2" w:rsidRPr="00C0373D">
        <w:rPr>
          <w:rFonts w:ascii="Avenir" w:eastAsia="Times New Roman" w:hAnsi="Avenir" w:cstheme="minorHAnsi"/>
          <w:bCs/>
          <w:lang w:eastAsia="en-GB"/>
        </w:rPr>
        <w:t>, saving both time and money</w:t>
      </w:r>
      <w:r w:rsidR="002103EB" w:rsidRPr="00C0373D">
        <w:rPr>
          <w:rFonts w:ascii="Avenir" w:eastAsia="Times New Roman" w:hAnsi="Avenir" w:cstheme="minorHAnsi"/>
          <w:bCs/>
          <w:lang w:eastAsia="en-GB"/>
        </w:rPr>
        <w:t xml:space="preserve"> in the long term</w:t>
      </w:r>
      <w:r w:rsidR="00622AB2" w:rsidRPr="00C0373D">
        <w:rPr>
          <w:rFonts w:ascii="Avenir" w:eastAsia="Times New Roman" w:hAnsi="Avenir" w:cstheme="minorHAnsi"/>
          <w:bCs/>
          <w:lang w:eastAsia="en-GB"/>
        </w:rPr>
        <w:t xml:space="preserve">, but more importantly saving on natural resources. </w:t>
      </w:r>
    </w:p>
    <w:p w:rsidR="00FE3658" w:rsidRPr="00C0373D" w:rsidRDefault="002103EB" w:rsidP="006C7AE6">
      <w:pPr>
        <w:pStyle w:val="ListParagraph"/>
        <w:numPr>
          <w:ilvl w:val="0"/>
          <w:numId w:val="11"/>
        </w:numPr>
        <w:spacing w:after="200" w:line="276" w:lineRule="auto"/>
        <w:ind w:left="709" w:right="95" w:hanging="425"/>
        <w:jc w:val="both"/>
        <w:rPr>
          <w:rFonts w:ascii="Avenir" w:eastAsia="Times New Roman" w:hAnsi="Avenir" w:cstheme="minorHAnsi"/>
          <w:bCs/>
          <w:lang w:eastAsia="en-GB"/>
        </w:rPr>
      </w:pPr>
      <w:r w:rsidRPr="00C0373D">
        <w:rPr>
          <w:rFonts w:ascii="Avenir" w:eastAsia="Times New Roman" w:hAnsi="Avenir" w:cstheme="minorHAnsi"/>
          <w:bCs/>
          <w:lang w:eastAsia="en-GB"/>
        </w:rPr>
        <w:t xml:space="preserve">Local communities </w:t>
      </w:r>
      <w:r w:rsidR="00BE24C2" w:rsidRPr="00C0373D">
        <w:rPr>
          <w:rFonts w:ascii="Avenir" w:eastAsia="Times New Roman" w:hAnsi="Avenir" w:cstheme="minorHAnsi"/>
          <w:bCs/>
          <w:lang w:eastAsia="en-GB"/>
        </w:rPr>
        <w:t>contribute locally available material such as sand, stones, aggregates</w:t>
      </w:r>
      <w:r w:rsidRPr="00C0373D">
        <w:rPr>
          <w:rFonts w:ascii="Avenir" w:eastAsia="Times New Roman" w:hAnsi="Avenir" w:cstheme="minorHAnsi"/>
          <w:bCs/>
          <w:lang w:eastAsia="en-GB"/>
        </w:rPr>
        <w:t xml:space="preserve"> and</w:t>
      </w:r>
      <w:r w:rsidR="00BE24C2" w:rsidRPr="00C0373D">
        <w:rPr>
          <w:rFonts w:ascii="Avenir" w:eastAsia="Times New Roman" w:hAnsi="Avenir" w:cstheme="minorHAnsi"/>
          <w:bCs/>
          <w:lang w:eastAsia="en-GB"/>
        </w:rPr>
        <w:t xml:space="preserve"> water</w:t>
      </w:r>
      <w:r w:rsidR="00A357D7" w:rsidRPr="00C0373D">
        <w:rPr>
          <w:rFonts w:ascii="Avenir" w:eastAsia="Times New Roman" w:hAnsi="Avenir" w:cstheme="minorHAnsi"/>
          <w:bCs/>
          <w:lang w:eastAsia="en-GB"/>
        </w:rPr>
        <w:t>, representing</w:t>
      </w:r>
      <w:r w:rsidRPr="00C0373D">
        <w:rPr>
          <w:rFonts w:ascii="Avenir" w:eastAsia="Times New Roman" w:hAnsi="Avenir" w:cstheme="minorHAnsi"/>
          <w:bCs/>
          <w:lang w:eastAsia="en-GB"/>
        </w:rPr>
        <w:t xml:space="preserve"> </w:t>
      </w:r>
      <w:r w:rsidR="00BE24C2" w:rsidRPr="00C0373D">
        <w:rPr>
          <w:rFonts w:ascii="Avenir" w:eastAsia="Times New Roman" w:hAnsi="Avenir" w:cstheme="minorHAnsi"/>
          <w:bCs/>
          <w:lang w:eastAsia="en-GB"/>
        </w:rPr>
        <w:t>at least 5% of the total hostel costs. In addition, the Ward Land Committee Members supervise construction daily, the schools provide storage for construction material</w:t>
      </w:r>
      <w:r w:rsidRPr="00C0373D">
        <w:rPr>
          <w:rFonts w:ascii="Avenir" w:eastAsia="Times New Roman" w:hAnsi="Avenir" w:cstheme="minorHAnsi"/>
          <w:bCs/>
          <w:lang w:eastAsia="en-GB"/>
        </w:rPr>
        <w:t>s</w:t>
      </w:r>
      <w:r w:rsidR="00BE24C2" w:rsidRPr="00C0373D">
        <w:rPr>
          <w:rFonts w:ascii="Avenir" w:eastAsia="Times New Roman" w:hAnsi="Avenir" w:cstheme="minorHAnsi"/>
          <w:bCs/>
          <w:lang w:eastAsia="en-GB"/>
        </w:rPr>
        <w:t xml:space="preserve">, and by the time a </w:t>
      </w:r>
      <w:r w:rsidRPr="00C0373D">
        <w:rPr>
          <w:rFonts w:ascii="Avenir" w:eastAsia="Times New Roman" w:hAnsi="Avenir" w:cstheme="minorHAnsi"/>
          <w:bCs/>
          <w:lang w:eastAsia="en-GB"/>
        </w:rPr>
        <w:t xml:space="preserve">hostel </w:t>
      </w:r>
      <w:r w:rsidR="00BE24C2" w:rsidRPr="00C0373D">
        <w:rPr>
          <w:rFonts w:ascii="Avenir" w:eastAsia="Times New Roman" w:hAnsi="Avenir" w:cstheme="minorHAnsi"/>
          <w:bCs/>
          <w:lang w:eastAsia="en-GB"/>
        </w:rPr>
        <w:t xml:space="preserve">is completed, </w:t>
      </w:r>
      <w:r w:rsidR="00A357D7" w:rsidRPr="00C0373D">
        <w:rPr>
          <w:rFonts w:ascii="Avenir" w:eastAsia="Times New Roman" w:hAnsi="Avenir" w:cstheme="minorHAnsi"/>
          <w:bCs/>
          <w:lang w:eastAsia="en-GB"/>
        </w:rPr>
        <w:t>a Hostel</w:t>
      </w:r>
      <w:r w:rsidR="00BE24C2" w:rsidRPr="00C0373D">
        <w:rPr>
          <w:rFonts w:ascii="Avenir" w:eastAsia="Times New Roman" w:hAnsi="Avenir" w:cstheme="minorHAnsi"/>
          <w:bCs/>
          <w:lang w:eastAsia="en-GB"/>
        </w:rPr>
        <w:t xml:space="preserve"> Committee </w:t>
      </w:r>
      <w:r w:rsidRPr="00C0373D">
        <w:rPr>
          <w:rFonts w:ascii="Avenir" w:eastAsia="Times New Roman" w:hAnsi="Avenir" w:cstheme="minorHAnsi"/>
          <w:bCs/>
          <w:lang w:eastAsia="en-GB"/>
        </w:rPr>
        <w:t xml:space="preserve">led by community parents </w:t>
      </w:r>
      <w:r w:rsidR="00BE24C2" w:rsidRPr="00C0373D">
        <w:rPr>
          <w:rFonts w:ascii="Avenir" w:eastAsia="Times New Roman" w:hAnsi="Avenir" w:cstheme="minorHAnsi"/>
          <w:bCs/>
          <w:lang w:eastAsia="en-GB"/>
        </w:rPr>
        <w:t>is formed with rep</w:t>
      </w:r>
      <w:r w:rsidR="00FE3658" w:rsidRPr="00C0373D">
        <w:rPr>
          <w:rFonts w:ascii="Avenir" w:eastAsia="Times New Roman" w:hAnsi="Avenir" w:cstheme="minorHAnsi"/>
          <w:bCs/>
          <w:lang w:eastAsia="en-GB"/>
        </w:rPr>
        <w:t>resentatives from each village.</w:t>
      </w:r>
    </w:p>
    <w:p w:rsidR="00D214F5" w:rsidRPr="00C0373D" w:rsidRDefault="00BE24C2" w:rsidP="006C7AE6">
      <w:pPr>
        <w:pStyle w:val="ListParagraph"/>
        <w:numPr>
          <w:ilvl w:val="0"/>
          <w:numId w:val="11"/>
        </w:numPr>
        <w:spacing w:after="200" w:line="276" w:lineRule="auto"/>
        <w:ind w:left="709" w:right="95" w:hanging="425"/>
        <w:jc w:val="both"/>
        <w:rPr>
          <w:rFonts w:ascii="Avenir" w:eastAsia="Times New Roman" w:hAnsi="Avenir" w:cstheme="minorHAnsi"/>
          <w:bCs/>
          <w:lang w:eastAsia="en-GB"/>
        </w:rPr>
      </w:pPr>
      <w:r w:rsidRPr="00C0373D">
        <w:rPr>
          <w:rFonts w:ascii="Avenir" w:eastAsia="Times New Roman" w:hAnsi="Avenir" w:cstheme="minorHAnsi"/>
          <w:bCs/>
          <w:lang w:eastAsia="en-GB"/>
        </w:rPr>
        <w:t xml:space="preserve">During handover ceremonies, other Ward schools have requested </w:t>
      </w:r>
      <w:r w:rsidR="00FE3658" w:rsidRPr="00C0373D">
        <w:rPr>
          <w:rFonts w:ascii="Avenir" w:eastAsia="Times New Roman" w:hAnsi="Avenir" w:cstheme="minorHAnsi"/>
          <w:bCs/>
          <w:lang w:eastAsia="en-GB"/>
        </w:rPr>
        <w:t xml:space="preserve">Lyra </w:t>
      </w:r>
      <w:r w:rsidRPr="00C0373D">
        <w:rPr>
          <w:rFonts w:ascii="Avenir" w:eastAsia="Times New Roman" w:hAnsi="Avenir" w:cstheme="minorHAnsi"/>
          <w:bCs/>
          <w:lang w:eastAsia="en-GB"/>
        </w:rPr>
        <w:t>to adopt the same design</w:t>
      </w:r>
      <w:r w:rsidR="00FE3658" w:rsidRPr="00C0373D">
        <w:rPr>
          <w:rFonts w:ascii="Avenir" w:eastAsia="Times New Roman" w:hAnsi="Avenir" w:cstheme="minorHAnsi"/>
          <w:bCs/>
          <w:lang w:eastAsia="en-GB"/>
        </w:rPr>
        <w:t>.</w:t>
      </w:r>
    </w:p>
    <w:p w:rsidR="00D214F5" w:rsidRPr="00C0373D" w:rsidRDefault="00D214F5" w:rsidP="000F586F">
      <w:pPr>
        <w:spacing w:after="200" w:line="276" w:lineRule="auto"/>
        <w:ind w:left="284" w:right="95"/>
        <w:jc w:val="both"/>
        <w:rPr>
          <w:rFonts w:ascii="Avenir" w:eastAsia="Times New Roman" w:hAnsi="Avenir" w:cstheme="minorHAnsi"/>
          <w:b/>
          <w:bCs/>
          <w:sz w:val="24"/>
          <w:szCs w:val="24"/>
          <w:lang w:eastAsia="en-GB"/>
        </w:rPr>
      </w:pPr>
      <w:r w:rsidRPr="00C0373D">
        <w:rPr>
          <w:rFonts w:ascii="Avenir" w:eastAsia="Times New Roman" w:hAnsi="Avenir" w:cstheme="minorHAnsi"/>
          <w:b/>
          <w:bCs/>
          <w:sz w:val="24"/>
          <w:szCs w:val="24"/>
          <w:lang w:eastAsia="en-GB"/>
        </w:rPr>
        <w:t xml:space="preserve">Production and adoption of ISSB as a raw material </w:t>
      </w:r>
    </w:p>
    <w:p w:rsidR="004B6102" w:rsidRPr="00C0373D" w:rsidRDefault="00D214F5" w:rsidP="006C7AE6">
      <w:pPr>
        <w:numPr>
          <w:ilvl w:val="0"/>
          <w:numId w:val="11"/>
        </w:numPr>
        <w:spacing w:after="200" w:line="276" w:lineRule="auto"/>
        <w:ind w:left="567" w:right="95" w:hanging="425"/>
        <w:jc w:val="both"/>
        <w:rPr>
          <w:rFonts w:ascii="Avenir" w:eastAsia="Times New Roman" w:hAnsi="Avenir" w:cstheme="minorHAnsi"/>
          <w:bCs/>
          <w:lang w:eastAsia="en-GB"/>
        </w:rPr>
      </w:pPr>
      <w:r w:rsidRPr="00C0373D">
        <w:rPr>
          <w:rFonts w:ascii="Avenir" w:eastAsia="Times New Roman" w:hAnsi="Avenir" w:cstheme="minorHAnsi"/>
          <w:bCs/>
          <w:lang w:eastAsia="en-GB"/>
        </w:rPr>
        <w:t>Although compressed earth blocks are an ancient method for building, they are viewed with suspicion in rural communities. Cement is seen as a requirement for “good” construction.</w:t>
      </w:r>
    </w:p>
    <w:p w:rsidR="00867DCD" w:rsidRPr="00C0373D" w:rsidRDefault="00164747" w:rsidP="006C7AE6">
      <w:pPr>
        <w:pStyle w:val="ListParagraph"/>
        <w:numPr>
          <w:ilvl w:val="0"/>
          <w:numId w:val="11"/>
        </w:numPr>
        <w:spacing w:after="200" w:line="276" w:lineRule="auto"/>
        <w:ind w:left="567" w:right="95" w:hanging="425"/>
        <w:jc w:val="both"/>
        <w:rPr>
          <w:rFonts w:ascii="Avenir" w:eastAsia="Times New Roman" w:hAnsi="Avenir" w:cstheme="minorHAnsi"/>
          <w:bCs/>
          <w:lang w:eastAsia="en-GB"/>
        </w:rPr>
      </w:pPr>
      <w:r w:rsidRPr="00C0373D">
        <w:rPr>
          <w:rFonts w:ascii="Avenir" w:hAnsi="Avenir" w:cstheme="minorHAnsi"/>
        </w:rPr>
        <w:t xml:space="preserve">There is a need for training </w:t>
      </w:r>
      <w:r w:rsidR="003358A3" w:rsidRPr="00C0373D">
        <w:rPr>
          <w:rFonts w:ascii="Avenir" w:hAnsi="Avenir" w:cstheme="minorHAnsi"/>
        </w:rPr>
        <w:t xml:space="preserve">in </w:t>
      </w:r>
      <w:r w:rsidRPr="00C0373D">
        <w:rPr>
          <w:rFonts w:ascii="Avenir" w:hAnsi="Avenir" w:cstheme="minorHAnsi"/>
        </w:rPr>
        <w:t>communities to understand the benefits of using ISSB</w:t>
      </w:r>
      <w:r w:rsidR="00717838" w:rsidRPr="00C0373D">
        <w:rPr>
          <w:rFonts w:ascii="Avenir" w:hAnsi="Avenir" w:cstheme="minorHAnsi"/>
        </w:rPr>
        <w:t xml:space="preserve"> and the decreased need for using cement</w:t>
      </w:r>
      <w:r w:rsidR="004B6102" w:rsidRPr="00C0373D">
        <w:rPr>
          <w:rFonts w:ascii="Avenir" w:hAnsi="Avenir" w:cstheme="minorHAnsi"/>
        </w:rPr>
        <w:t xml:space="preserve"> and traditional bricks (a huge task to continue looking for firewood)</w:t>
      </w:r>
      <w:r w:rsidR="003358A3" w:rsidRPr="00C0373D">
        <w:rPr>
          <w:rFonts w:ascii="Avenir" w:hAnsi="Avenir" w:cstheme="minorHAnsi"/>
        </w:rPr>
        <w:t>.</w:t>
      </w:r>
    </w:p>
    <w:p w:rsidR="00867DCD" w:rsidRPr="00C0373D" w:rsidRDefault="003358A3" w:rsidP="006C7AE6">
      <w:pPr>
        <w:pStyle w:val="ListParagraph"/>
        <w:numPr>
          <w:ilvl w:val="0"/>
          <w:numId w:val="11"/>
        </w:numPr>
        <w:spacing w:after="200" w:line="276" w:lineRule="auto"/>
        <w:ind w:left="567" w:right="95" w:hanging="425"/>
        <w:jc w:val="both"/>
        <w:rPr>
          <w:rFonts w:ascii="Avenir" w:eastAsia="Times New Roman" w:hAnsi="Avenir" w:cstheme="minorHAnsi"/>
          <w:bCs/>
          <w:lang w:eastAsia="en-GB"/>
        </w:rPr>
      </w:pPr>
      <w:r w:rsidRPr="00C0373D">
        <w:rPr>
          <w:rFonts w:ascii="Avenir" w:hAnsi="Avenir" w:cstheme="minorHAnsi"/>
        </w:rPr>
        <w:t>A</w:t>
      </w:r>
      <w:r w:rsidR="00164747" w:rsidRPr="00C0373D">
        <w:rPr>
          <w:rFonts w:ascii="Avenir" w:hAnsi="Avenir" w:cstheme="minorHAnsi"/>
        </w:rPr>
        <w:t>wareness of polluting emissions or environmental concerns</w:t>
      </w:r>
      <w:r w:rsidRPr="00C0373D">
        <w:rPr>
          <w:rFonts w:ascii="Avenir" w:hAnsi="Avenir" w:cstheme="minorHAnsi"/>
        </w:rPr>
        <w:t xml:space="preserve"> is </w:t>
      </w:r>
      <w:r w:rsidR="00560EEA" w:rsidRPr="00C0373D">
        <w:rPr>
          <w:rFonts w:ascii="Avenir" w:hAnsi="Avenir" w:cstheme="minorHAnsi"/>
        </w:rPr>
        <w:t xml:space="preserve">locally </w:t>
      </w:r>
      <w:r w:rsidRPr="00C0373D">
        <w:rPr>
          <w:rFonts w:ascii="Avenir" w:hAnsi="Avenir" w:cstheme="minorHAnsi"/>
        </w:rPr>
        <w:t xml:space="preserve">very low and not a </w:t>
      </w:r>
      <w:r w:rsidR="00164747" w:rsidRPr="00C0373D">
        <w:rPr>
          <w:rFonts w:ascii="Avenir" w:hAnsi="Avenir" w:cstheme="minorHAnsi"/>
        </w:rPr>
        <w:t>priority</w:t>
      </w:r>
      <w:r w:rsidRPr="00C0373D">
        <w:rPr>
          <w:rFonts w:ascii="Avenir" w:hAnsi="Avenir" w:cstheme="minorHAnsi"/>
        </w:rPr>
        <w:t xml:space="preserve">. </w:t>
      </w:r>
    </w:p>
    <w:p w:rsidR="00867DCD" w:rsidRPr="00C0373D" w:rsidRDefault="003358A3" w:rsidP="006C7AE6">
      <w:pPr>
        <w:pStyle w:val="ListParagraph"/>
        <w:numPr>
          <w:ilvl w:val="0"/>
          <w:numId w:val="11"/>
        </w:numPr>
        <w:spacing w:after="200" w:line="276" w:lineRule="auto"/>
        <w:ind w:left="567" w:right="95" w:hanging="425"/>
        <w:jc w:val="both"/>
        <w:rPr>
          <w:rFonts w:ascii="Avenir" w:eastAsia="Times New Roman" w:hAnsi="Avenir" w:cstheme="minorHAnsi"/>
          <w:bCs/>
          <w:lang w:eastAsia="en-GB"/>
        </w:rPr>
      </w:pPr>
      <w:r w:rsidRPr="00C0373D">
        <w:rPr>
          <w:rFonts w:ascii="Avenir" w:hAnsi="Avenir" w:cstheme="minorHAnsi"/>
        </w:rPr>
        <w:t xml:space="preserve">Close supervision is needed at the start of the project to ensure drawings are followed and that block </w:t>
      </w:r>
      <w:proofErr w:type="gramStart"/>
      <w:r w:rsidRPr="00C0373D">
        <w:rPr>
          <w:rFonts w:ascii="Avenir" w:hAnsi="Avenir" w:cstheme="minorHAnsi"/>
        </w:rPr>
        <w:t>drying</w:t>
      </w:r>
      <w:proofErr w:type="gramEnd"/>
      <w:r w:rsidRPr="00C0373D">
        <w:rPr>
          <w:rFonts w:ascii="Avenir" w:hAnsi="Avenir" w:cstheme="minorHAnsi"/>
        </w:rPr>
        <w:t xml:space="preserve"> and handling is correctly done.</w:t>
      </w:r>
    </w:p>
    <w:p w:rsidR="00867DCD" w:rsidRPr="00C0373D" w:rsidRDefault="003358A3" w:rsidP="006C7AE6">
      <w:pPr>
        <w:pStyle w:val="ListParagraph"/>
        <w:numPr>
          <w:ilvl w:val="0"/>
          <w:numId w:val="11"/>
        </w:numPr>
        <w:spacing w:after="200" w:line="276" w:lineRule="auto"/>
        <w:ind w:left="567" w:right="95" w:hanging="425"/>
        <w:jc w:val="both"/>
        <w:rPr>
          <w:rFonts w:ascii="Avenir" w:eastAsia="Times New Roman" w:hAnsi="Avenir" w:cstheme="minorHAnsi"/>
          <w:bCs/>
          <w:lang w:eastAsia="en-GB"/>
        </w:rPr>
      </w:pPr>
      <w:r w:rsidRPr="00C0373D">
        <w:rPr>
          <w:rFonts w:ascii="Avenir" w:hAnsi="Avenir" w:cstheme="minorHAnsi"/>
        </w:rPr>
        <w:t xml:space="preserve">It is important to work with the </w:t>
      </w:r>
      <w:r w:rsidR="00D214F5" w:rsidRPr="00C0373D">
        <w:rPr>
          <w:rFonts w:ascii="Avenir" w:hAnsi="Avenir" w:cstheme="minorHAnsi"/>
        </w:rPr>
        <w:t xml:space="preserve">local </w:t>
      </w:r>
      <w:r w:rsidRPr="00C0373D">
        <w:rPr>
          <w:rFonts w:ascii="Avenir" w:hAnsi="Avenir" w:cstheme="minorHAnsi"/>
        </w:rPr>
        <w:t xml:space="preserve">private sector, including local contractors and masons to promote ISSB technology. </w:t>
      </w:r>
    </w:p>
    <w:p w:rsidR="00867DCD" w:rsidRPr="00C0373D" w:rsidRDefault="00346F6E" w:rsidP="000F586F">
      <w:pPr>
        <w:spacing w:after="200" w:line="276" w:lineRule="auto"/>
        <w:ind w:left="284" w:right="95"/>
        <w:jc w:val="both"/>
        <w:rPr>
          <w:rFonts w:ascii="Avenir" w:eastAsia="Times New Roman" w:hAnsi="Avenir" w:cs="Calibri"/>
          <w:b/>
          <w:sz w:val="24"/>
          <w:szCs w:val="24"/>
          <w:lang w:eastAsia="en-GB"/>
        </w:rPr>
      </w:pPr>
      <w:r w:rsidRPr="00C0373D">
        <w:rPr>
          <w:rFonts w:ascii="Avenir" w:eastAsia="Times New Roman" w:hAnsi="Avenir" w:cs="Calibri"/>
          <w:b/>
          <w:sz w:val="24"/>
          <w:szCs w:val="24"/>
          <w:lang w:eastAsia="en-GB"/>
        </w:rPr>
        <w:t>What we would like to develop</w:t>
      </w:r>
    </w:p>
    <w:p w:rsidR="00622AB2" w:rsidRPr="00C0373D" w:rsidRDefault="00622AB2" w:rsidP="006C7AE6">
      <w:pPr>
        <w:pStyle w:val="ListParagraph"/>
        <w:numPr>
          <w:ilvl w:val="0"/>
          <w:numId w:val="19"/>
        </w:numPr>
        <w:spacing w:after="200" w:line="276" w:lineRule="auto"/>
        <w:ind w:left="567" w:right="95" w:hanging="425"/>
        <w:jc w:val="both"/>
        <w:rPr>
          <w:rFonts w:ascii="Avenir" w:eastAsia="Times New Roman" w:hAnsi="Avenir" w:cs="Calibri"/>
          <w:lang w:eastAsia="en-GB"/>
        </w:rPr>
      </w:pPr>
      <w:r w:rsidRPr="00C0373D">
        <w:rPr>
          <w:rFonts w:ascii="Avenir" w:eastAsia="Times New Roman" w:hAnsi="Avenir" w:cs="Calibri"/>
          <w:lang w:eastAsia="en-GB"/>
        </w:rPr>
        <w:t xml:space="preserve">Awareness sessions to </w:t>
      </w:r>
      <w:r w:rsidR="002103EB" w:rsidRPr="00C0373D">
        <w:rPr>
          <w:rFonts w:ascii="Avenir" w:eastAsia="Times New Roman" w:hAnsi="Avenir" w:cs="Calibri"/>
          <w:lang w:eastAsia="en-GB"/>
        </w:rPr>
        <w:t>encourage l</w:t>
      </w:r>
      <w:r w:rsidRPr="00C0373D">
        <w:rPr>
          <w:rFonts w:ascii="Avenir" w:eastAsia="Times New Roman" w:hAnsi="Avenir" w:cs="Calibri"/>
          <w:lang w:eastAsia="en-GB"/>
        </w:rPr>
        <w:t xml:space="preserve">ocal </w:t>
      </w:r>
      <w:r w:rsidR="002103EB" w:rsidRPr="00C0373D">
        <w:rPr>
          <w:rFonts w:ascii="Avenir" w:eastAsia="Times New Roman" w:hAnsi="Avenir" w:cs="Calibri"/>
          <w:lang w:eastAsia="en-GB"/>
        </w:rPr>
        <w:t xml:space="preserve">governments </w:t>
      </w:r>
      <w:r w:rsidRPr="00C0373D">
        <w:rPr>
          <w:rFonts w:ascii="Avenir" w:eastAsia="Times New Roman" w:hAnsi="Avenir" w:cs="Calibri"/>
          <w:lang w:eastAsia="en-GB"/>
        </w:rPr>
        <w:t xml:space="preserve">to adopt the ISSB technology, as a preferred way for building the </w:t>
      </w:r>
      <w:r w:rsidR="002103EB" w:rsidRPr="00C0373D">
        <w:rPr>
          <w:rFonts w:ascii="Avenir" w:eastAsia="Times New Roman" w:hAnsi="Avenir" w:cs="Calibri"/>
          <w:lang w:eastAsia="en-GB"/>
        </w:rPr>
        <w:t>much-needed</w:t>
      </w:r>
      <w:r w:rsidRPr="00C0373D">
        <w:rPr>
          <w:rFonts w:ascii="Avenir" w:eastAsia="Times New Roman" w:hAnsi="Avenir" w:cs="Calibri"/>
          <w:lang w:eastAsia="en-GB"/>
        </w:rPr>
        <w:t xml:space="preserve"> </w:t>
      </w:r>
      <w:proofErr w:type="gramStart"/>
      <w:r w:rsidRPr="00C0373D">
        <w:rPr>
          <w:rFonts w:ascii="Avenir" w:eastAsia="Times New Roman" w:hAnsi="Avenir" w:cs="Calibri"/>
          <w:lang w:eastAsia="en-GB"/>
        </w:rPr>
        <w:t>schools</w:t>
      </w:r>
      <w:proofErr w:type="gramEnd"/>
      <w:r w:rsidRPr="00C0373D">
        <w:rPr>
          <w:rFonts w:ascii="Avenir" w:eastAsia="Times New Roman" w:hAnsi="Avenir" w:cs="Calibri"/>
          <w:lang w:eastAsia="en-GB"/>
        </w:rPr>
        <w:t xml:space="preserve"> infrastructure, where the soil is suitable. </w:t>
      </w:r>
    </w:p>
    <w:p w:rsidR="00867DCD" w:rsidRPr="00C0373D" w:rsidRDefault="00884FEE" w:rsidP="006C7AE6">
      <w:pPr>
        <w:pStyle w:val="ListParagraph"/>
        <w:numPr>
          <w:ilvl w:val="0"/>
          <w:numId w:val="19"/>
        </w:numPr>
        <w:spacing w:after="200" w:line="276" w:lineRule="auto"/>
        <w:ind w:left="567" w:right="95" w:hanging="425"/>
        <w:jc w:val="both"/>
        <w:rPr>
          <w:rFonts w:ascii="Avenir" w:eastAsia="Times New Roman" w:hAnsi="Avenir" w:cs="Calibri"/>
          <w:lang w:eastAsia="en-GB"/>
        </w:rPr>
      </w:pPr>
      <w:r w:rsidRPr="00C0373D">
        <w:rPr>
          <w:rFonts w:ascii="Avenir" w:eastAsia="Times New Roman" w:hAnsi="Avenir" w:cs="Calibri"/>
          <w:lang w:eastAsia="en-GB"/>
        </w:rPr>
        <w:t>Training of local masons for long term environmental and local economic benefit</w:t>
      </w:r>
    </w:p>
    <w:p w:rsidR="00867DCD" w:rsidRPr="00C0373D" w:rsidRDefault="00346F6E" w:rsidP="006C7AE6">
      <w:pPr>
        <w:pStyle w:val="ListParagraph"/>
        <w:numPr>
          <w:ilvl w:val="0"/>
          <w:numId w:val="15"/>
        </w:numPr>
        <w:spacing w:after="200" w:line="276" w:lineRule="auto"/>
        <w:ind w:left="567" w:right="95" w:hanging="425"/>
        <w:jc w:val="both"/>
        <w:rPr>
          <w:rFonts w:ascii="Avenir" w:eastAsia="Times New Roman" w:hAnsi="Avenir" w:cs="Calibri"/>
          <w:lang w:eastAsia="en-GB"/>
        </w:rPr>
      </w:pPr>
      <w:r w:rsidRPr="00C0373D">
        <w:rPr>
          <w:rFonts w:ascii="Avenir" w:hAnsi="Avenir" w:cs="Calibri"/>
        </w:rPr>
        <w:t>A system of lending the ISSB machines and providing training to interested local community and private developers based on an agreement guaranteeing the use of the machine.</w:t>
      </w:r>
    </w:p>
    <w:p w:rsidR="00867DCD" w:rsidRPr="00C0373D" w:rsidRDefault="00346F6E" w:rsidP="006C7AE6">
      <w:pPr>
        <w:pStyle w:val="ListParagraph"/>
        <w:numPr>
          <w:ilvl w:val="0"/>
          <w:numId w:val="15"/>
        </w:numPr>
        <w:spacing w:after="200" w:line="276" w:lineRule="auto"/>
        <w:ind w:left="567" w:right="95" w:hanging="425"/>
        <w:jc w:val="both"/>
        <w:rPr>
          <w:rFonts w:ascii="Avenir" w:eastAsia="Times New Roman" w:hAnsi="Avenir" w:cs="Calibri"/>
          <w:lang w:eastAsia="en-GB"/>
        </w:rPr>
      </w:pPr>
      <w:r w:rsidRPr="00C0373D">
        <w:rPr>
          <w:rFonts w:ascii="Avenir" w:hAnsi="Avenir" w:cs="Calibri"/>
        </w:rPr>
        <w:t xml:space="preserve">The construction by communities of ISSB demo buildings </w:t>
      </w:r>
      <w:r w:rsidR="002103EB" w:rsidRPr="00C0373D">
        <w:rPr>
          <w:rFonts w:ascii="Avenir" w:hAnsi="Avenir" w:cs="Calibri"/>
        </w:rPr>
        <w:t xml:space="preserve">as </w:t>
      </w:r>
      <w:r w:rsidR="002103EB" w:rsidRPr="00C0373D">
        <w:rPr>
          <w:rFonts w:ascii="Avenir" w:hAnsi="Avenir" w:cstheme="minorHAnsi"/>
        </w:rPr>
        <w:t>resource</w:t>
      </w:r>
      <w:r w:rsidRPr="00C0373D">
        <w:rPr>
          <w:rFonts w:ascii="Avenir" w:hAnsi="Avenir" w:cs="Calibri"/>
        </w:rPr>
        <w:t xml:space="preserve"> centres. </w:t>
      </w:r>
    </w:p>
    <w:p w:rsidR="00867DCD" w:rsidRPr="00C0373D" w:rsidRDefault="00346F6E" w:rsidP="006C7AE6">
      <w:pPr>
        <w:pStyle w:val="ListParagraph"/>
        <w:numPr>
          <w:ilvl w:val="0"/>
          <w:numId w:val="15"/>
        </w:numPr>
        <w:spacing w:after="200" w:line="276" w:lineRule="auto"/>
        <w:ind w:left="567" w:right="95" w:hanging="425"/>
        <w:jc w:val="both"/>
        <w:rPr>
          <w:rFonts w:ascii="Avenir" w:eastAsia="Times New Roman" w:hAnsi="Avenir" w:cs="Calibri"/>
          <w:lang w:eastAsia="en-GB"/>
        </w:rPr>
      </w:pPr>
      <w:r w:rsidRPr="00C0373D">
        <w:rPr>
          <w:rFonts w:ascii="Avenir" w:hAnsi="Avenir" w:cs="Calibri"/>
        </w:rPr>
        <w:t>All parties must be trained to recognise the importance of good quality raw materials</w:t>
      </w:r>
      <w:r w:rsidR="00FE3658" w:rsidRPr="00C0373D">
        <w:rPr>
          <w:rFonts w:ascii="Avenir" w:hAnsi="Avenir" w:cs="Calibri"/>
        </w:rPr>
        <w:t xml:space="preserve"> and the importance of identifying the correct sand</w:t>
      </w:r>
      <w:r w:rsidRPr="00C0373D">
        <w:rPr>
          <w:rFonts w:ascii="Avenir" w:hAnsi="Avenir" w:cs="Calibri"/>
        </w:rPr>
        <w:t>.</w:t>
      </w:r>
    </w:p>
    <w:p w:rsidR="00867DCD" w:rsidRPr="00C0373D" w:rsidRDefault="00346F6E" w:rsidP="006C7AE6">
      <w:pPr>
        <w:pStyle w:val="ListParagraph"/>
        <w:numPr>
          <w:ilvl w:val="0"/>
          <w:numId w:val="15"/>
        </w:numPr>
        <w:spacing w:after="200" w:line="276" w:lineRule="auto"/>
        <w:ind w:left="567" w:right="95" w:hanging="425"/>
        <w:jc w:val="both"/>
        <w:rPr>
          <w:rFonts w:ascii="Avenir" w:eastAsia="Times New Roman" w:hAnsi="Avenir" w:cs="Calibri"/>
          <w:lang w:eastAsia="en-GB"/>
        </w:rPr>
      </w:pPr>
      <w:r w:rsidRPr="00C0373D">
        <w:rPr>
          <w:rFonts w:ascii="Avenir" w:hAnsi="Avenir" w:cs="Calibri"/>
        </w:rPr>
        <w:t xml:space="preserve">Once covered by the roof, well-made blocks are </w:t>
      </w:r>
      <w:r w:rsidR="00A357D7" w:rsidRPr="00C0373D">
        <w:rPr>
          <w:rFonts w:ascii="Avenir" w:hAnsi="Avenir" w:cs="Calibri"/>
        </w:rPr>
        <w:t>weatherproof</w:t>
      </w:r>
      <w:r w:rsidRPr="00C0373D">
        <w:rPr>
          <w:rFonts w:ascii="Avenir" w:hAnsi="Avenir" w:cs="Calibri"/>
        </w:rPr>
        <w:t xml:space="preserve"> and do not require plaster.</w:t>
      </w:r>
    </w:p>
    <w:p w:rsidR="00D214F5" w:rsidRPr="00C0373D" w:rsidRDefault="00D214F5" w:rsidP="000F586F">
      <w:pPr>
        <w:pStyle w:val="ListParagraph"/>
        <w:spacing w:after="200" w:line="276" w:lineRule="auto"/>
        <w:ind w:left="284" w:right="95"/>
        <w:jc w:val="both"/>
        <w:rPr>
          <w:rFonts w:ascii="Avenir" w:eastAsia="Times New Roman" w:hAnsi="Avenir" w:cs="Calibri"/>
          <w:b/>
          <w:lang w:eastAsia="en-GB"/>
        </w:rPr>
      </w:pPr>
    </w:p>
    <w:p w:rsidR="00FF32E7" w:rsidRPr="00C0373D" w:rsidRDefault="00FF32E7" w:rsidP="000F586F">
      <w:pPr>
        <w:ind w:left="284" w:right="95"/>
        <w:rPr>
          <w:rFonts w:ascii="Avenir" w:eastAsia="Times New Roman" w:hAnsi="Avenir" w:cs="Calibri"/>
          <w:b/>
          <w:bCs/>
          <w:sz w:val="24"/>
          <w:szCs w:val="24"/>
          <w:lang w:eastAsia="en-GB"/>
        </w:rPr>
      </w:pPr>
      <w:r w:rsidRPr="00C0373D">
        <w:rPr>
          <w:rFonts w:ascii="Avenir" w:eastAsia="Times New Roman" w:hAnsi="Avenir" w:cs="Calibri"/>
          <w:b/>
          <w:bCs/>
          <w:sz w:val="24"/>
          <w:szCs w:val="24"/>
          <w:lang w:eastAsia="en-GB"/>
        </w:rPr>
        <w:br w:type="page"/>
      </w:r>
    </w:p>
    <w:p w:rsidR="006B7D26" w:rsidRPr="00C0373D" w:rsidRDefault="006B7D26" w:rsidP="000F586F">
      <w:pPr>
        <w:ind w:left="284" w:right="95"/>
        <w:rPr>
          <w:rFonts w:ascii="Avenir" w:eastAsia="Times New Roman" w:hAnsi="Avenir" w:cs="Calibri"/>
          <w:b/>
          <w:sz w:val="24"/>
          <w:szCs w:val="24"/>
          <w:lang w:eastAsia="en-GB"/>
        </w:rPr>
      </w:pPr>
      <w:r w:rsidRPr="00C0373D">
        <w:rPr>
          <w:rFonts w:ascii="Avenir" w:eastAsia="Times New Roman" w:hAnsi="Avenir" w:cs="Calibri"/>
          <w:b/>
          <w:sz w:val="24"/>
          <w:szCs w:val="24"/>
          <w:lang w:eastAsia="en-GB"/>
        </w:rPr>
        <w:lastRenderedPageBreak/>
        <w:t>Appendix 1:</w:t>
      </w:r>
      <w:r w:rsidR="006345FE" w:rsidRPr="00C0373D">
        <w:rPr>
          <w:rFonts w:ascii="Avenir" w:eastAsia="Times New Roman" w:hAnsi="Avenir" w:cs="Calibri"/>
          <w:b/>
          <w:sz w:val="24"/>
          <w:szCs w:val="24"/>
          <w:lang w:eastAsia="en-GB"/>
        </w:rPr>
        <w:t xml:space="preserve"> </w:t>
      </w:r>
      <w:r w:rsidRPr="00C0373D">
        <w:rPr>
          <w:rFonts w:ascii="Avenir" w:eastAsia="Times New Roman" w:hAnsi="Avenir" w:cs="Calibri"/>
          <w:b/>
          <w:sz w:val="24"/>
          <w:szCs w:val="24"/>
          <w:lang w:eastAsia="en-GB"/>
        </w:rPr>
        <w:t xml:space="preserve">Full Cost comparison of standard government and Lyra hostel </w:t>
      </w:r>
    </w:p>
    <w:p w:rsidR="006B7D26" w:rsidRPr="00C0373D" w:rsidRDefault="006B7D26" w:rsidP="006345FE">
      <w:pPr>
        <w:ind w:left="284" w:right="95"/>
        <w:jc w:val="both"/>
        <w:rPr>
          <w:rFonts w:ascii="Avenir" w:eastAsia="Times New Roman" w:hAnsi="Avenir" w:cs="Calibri"/>
          <w:lang w:eastAsia="en-GB"/>
        </w:rPr>
      </w:pPr>
      <w:r w:rsidRPr="00C0373D">
        <w:rPr>
          <w:rFonts w:ascii="Avenir" w:eastAsia="Times New Roman" w:hAnsi="Avenir" w:cs="Calibri"/>
          <w:lang w:eastAsia="en-GB"/>
        </w:rPr>
        <w:t>Lyra ‘s hostel costs approx. USD86,000 or USD140/sqm versus the government used standard hostel design at USD81,000 or USD180/sqm. In addition</w:t>
      </w:r>
      <w:r w:rsidR="006345FE" w:rsidRPr="00C0373D">
        <w:rPr>
          <w:rFonts w:ascii="Avenir" w:eastAsia="Times New Roman" w:hAnsi="Avenir" w:cs="Calibri"/>
          <w:lang w:eastAsia="en-GB"/>
        </w:rPr>
        <w:t>,</w:t>
      </w:r>
      <w:r w:rsidRPr="00C0373D">
        <w:rPr>
          <w:rFonts w:ascii="Avenir" w:eastAsia="Times New Roman" w:hAnsi="Avenir" w:cs="Calibri"/>
          <w:lang w:eastAsia="en-GB"/>
        </w:rPr>
        <w:t xml:space="preserve"> the environmental costs are drastically reduced by using compressed earth bricks that are air cured as the main raw material, reducing CO2 emissions by approx. 58t per hostel when compared with a hostel built using traditionally burnt bricks.</w:t>
      </w:r>
    </w:p>
    <w:p w:rsidR="006345FE" w:rsidRPr="00C0373D" w:rsidRDefault="006345FE" w:rsidP="006345FE">
      <w:pPr>
        <w:ind w:left="284" w:right="95"/>
        <w:jc w:val="both"/>
        <w:rPr>
          <w:rFonts w:ascii="Avenir" w:eastAsia="Times New Roman" w:hAnsi="Avenir" w:cs="Calibri"/>
          <w:lang w:eastAsia="en-GB"/>
        </w:rPr>
      </w:pPr>
      <w:r w:rsidRPr="00C0373D">
        <w:rPr>
          <w:rFonts w:ascii="Avenir" w:hAnsi="Avenir"/>
          <w:noProof/>
          <w:lang w:eastAsia="en-GB"/>
        </w:rPr>
        <w:drawing>
          <wp:inline distT="0" distB="0" distL="0" distR="0">
            <wp:extent cx="6120765" cy="48875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765" cy="4887595"/>
                    </a:xfrm>
                    <a:prstGeom prst="rect">
                      <a:avLst/>
                    </a:prstGeom>
                    <a:noFill/>
                    <a:ln>
                      <a:noFill/>
                    </a:ln>
                  </pic:spPr>
                </pic:pic>
              </a:graphicData>
            </a:graphic>
          </wp:inline>
        </w:drawing>
      </w:r>
    </w:p>
    <w:p w:rsidR="006345FE" w:rsidRPr="00C0373D" w:rsidRDefault="006345FE" w:rsidP="006345FE">
      <w:pPr>
        <w:ind w:left="284" w:right="95"/>
        <w:jc w:val="both"/>
        <w:rPr>
          <w:rFonts w:ascii="Avenir" w:eastAsia="Times New Roman" w:hAnsi="Avenir" w:cs="Calibri"/>
          <w:lang w:eastAsia="en-GB"/>
        </w:rPr>
      </w:pPr>
      <w:r w:rsidRPr="00C0373D">
        <w:rPr>
          <w:rFonts w:ascii="Avenir" w:eastAsia="Times New Roman" w:hAnsi="Avenir" w:cs="Calibri"/>
          <w:lang w:eastAsia="en-GB"/>
        </w:rPr>
        <w:t>* Burning wood releases about 1,900g of CO2</w:t>
      </w:r>
      <w:r w:rsidRPr="00C0373D">
        <w:rPr>
          <w:rFonts w:ascii="Calibri" w:eastAsia="Times New Roman" w:hAnsi="Calibri" w:cs="Calibri"/>
          <w:lang w:eastAsia="en-GB"/>
        </w:rPr>
        <w:t> </w:t>
      </w:r>
      <w:r w:rsidRPr="00C0373D">
        <w:rPr>
          <w:rFonts w:ascii="Avenir" w:eastAsia="Times New Roman" w:hAnsi="Avenir" w:cs="Calibri"/>
          <w:lang w:eastAsia="en-GB"/>
        </w:rPr>
        <w:t>for every 1,000g of wood that is fully burnt. We have only calculated the CO2, not other GHGs, such as N2O</w:t>
      </w:r>
      <w:r w:rsidR="00C0373D" w:rsidRPr="00C0373D">
        <w:rPr>
          <w:rFonts w:ascii="Avenir" w:eastAsia="Times New Roman" w:hAnsi="Avenir" w:cs="Calibri"/>
          <w:lang w:eastAsia="en-GB"/>
        </w:rPr>
        <w:t xml:space="preserve">. </w:t>
      </w:r>
    </w:p>
    <w:p w:rsidR="006345FE" w:rsidRPr="00C0373D" w:rsidRDefault="006345FE" w:rsidP="006345FE">
      <w:pPr>
        <w:ind w:left="284" w:right="95"/>
        <w:jc w:val="both"/>
        <w:rPr>
          <w:rFonts w:ascii="Avenir" w:eastAsia="Times New Roman" w:hAnsi="Avenir" w:cs="Calibri"/>
          <w:lang w:eastAsia="en-GB"/>
        </w:rPr>
      </w:pPr>
      <w:r w:rsidRPr="00C0373D">
        <w:rPr>
          <w:rFonts w:ascii="Avenir" w:eastAsia="Times New Roman" w:hAnsi="Avenir" w:cs="Calibri"/>
          <w:lang w:eastAsia="en-GB"/>
        </w:rPr>
        <w:t>Assumption that wood can be considered as non-renewable biomass, a range of 0.19 -1.75kg CO2 emissions per clay fired brick. The GET uses 1.08kgCO2 / brick</w:t>
      </w:r>
      <w:r w:rsidR="00C0373D" w:rsidRPr="00C0373D">
        <w:rPr>
          <w:rFonts w:ascii="Avenir" w:eastAsia="Times New Roman" w:hAnsi="Avenir" w:cs="Calibri"/>
          <w:lang w:eastAsia="en-GB"/>
        </w:rPr>
        <w:t xml:space="preserve">. </w:t>
      </w:r>
    </w:p>
    <w:p w:rsidR="00FF32E7" w:rsidRPr="00C0373D" w:rsidRDefault="00FF32E7" w:rsidP="00317B39">
      <w:pPr>
        <w:ind w:left="-709"/>
        <w:rPr>
          <w:rFonts w:ascii="Avenir" w:eastAsia="Times New Roman" w:hAnsi="Avenir" w:cs="Calibri"/>
          <w:sz w:val="24"/>
          <w:szCs w:val="24"/>
          <w:lang w:eastAsia="en-GB"/>
        </w:rPr>
      </w:pPr>
      <w:r w:rsidRPr="00C0373D">
        <w:rPr>
          <w:rFonts w:ascii="Avenir" w:eastAsia="Times New Roman" w:hAnsi="Avenir" w:cs="Calibri"/>
          <w:sz w:val="24"/>
          <w:szCs w:val="24"/>
          <w:lang w:eastAsia="en-GB"/>
        </w:rPr>
        <w:br w:type="page"/>
      </w:r>
    </w:p>
    <w:p w:rsidR="00795D55" w:rsidRPr="00C0373D" w:rsidRDefault="006B7D26" w:rsidP="00C0373D">
      <w:pPr>
        <w:ind w:firstLine="284"/>
        <w:rPr>
          <w:rFonts w:ascii="Avenir" w:hAnsi="Avenir"/>
          <w:b/>
          <w:sz w:val="24"/>
          <w:szCs w:val="24"/>
        </w:rPr>
      </w:pPr>
      <w:r w:rsidRPr="00C0373D">
        <w:rPr>
          <w:rFonts w:ascii="Avenir" w:hAnsi="Avenir"/>
          <w:b/>
          <w:sz w:val="24"/>
          <w:szCs w:val="24"/>
        </w:rPr>
        <w:lastRenderedPageBreak/>
        <w:t>A</w:t>
      </w:r>
      <w:r w:rsidR="00FF32E7" w:rsidRPr="00C0373D">
        <w:rPr>
          <w:rFonts w:ascii="Avenir" w:hAnsi="Avenir"/>
          <w:b/>
          <w:sz w:val="24"/>
          <w:szCs w:val="24"/>
        </w:rPr>
        <w:t>ppendix 2</w:t>
      </w:r>
      <w:r w:rsidRPr="00C0373D">
        <w:rPr>
          <w:rFonts w:ascii="Avenir" w:hAnsi="Avenir"/>
          <w:b/>
          <w:sz w:val="24"/>
          <w:szCs w:val="24"/>
        </w:rPr>
        <w:t>:</w:t>
      </w:r>
      <w:r w:rsidR="00C0373D" w:rsidRPr="00C0373D">
        <w:rPr>
          <w:rFonts w:ascii="Avenir" w:hAnsi="Avenir"/>
          <w:b/>
          <w:sz w:val="24"/>
          <w:szCs w:val="24"/>
        </w:rPr>
        <w:t xml:space="preserve"> </w:t>
      </w:r>
      <w:r w:rsidR="00FF32E7" w:rsidRPr="00C0373D">
        <w:rPr>
          <w:rFonts w:ascii="Avenir" w:hAnsi="Avenir"/>
          <w:b/>
          <w:sz w:val="24"/>
          <w:szCs w:val="24"/>
        </w:rPr>
        <w:t>D</w:t>
      </w:r>
      <w:r w:rsidR="008D5F3D" w:rsidRPr="00C0373D">
        <w:rPr>
          <w:rFonts w:ascii="Avenir" w:hAnsi="Avenir"/>
          <w:b/>
          <w:sz w:val="24"/>
          <w:szCs w:val="24"/>
        </w:rPr>
        <w:t xml:space="preserve">rawings for Lyra and </w:t>
      </w:r>
      <w:r w:rsidR="00C0373D">
        <w:rPr>
          <w:rFonts w:ascii="Avenir" w:hAnsi="Avenir"/>
          <w:b/>
          <w:sz w:val="24"/>
          <w:szCs w:val="24"/>
        </w:rPr>
        <w:t>G</w:t>
      </w:r>
      <w:r w:rsidR="008D5F3D" w:rsidRPr="00C0373D">
        <w:rPr>
          <w:rFonts w:ascii="Avenir" w:hAnsi="Avenir"/>
          <w:b/>
          <w:sz w:val="24"/>
          <w:szCs w:val="24"/>
        </w:rPr>
        <w:t xml:space="preserve">overnment </w:t>
      </w:r>
      <w:r w:rsidR="00C0373D">
        <w:rPr>
          <w:rFonts w:ascii="Avenir" w:hAnsi="Avenir"/>
          <w:b/>
          <w:sz w:val="24"/>
          <w:szCs w:val="24"/>
        </w:rPr>
        <w:t>H</w:t>
      </w:r>
      <w:r w:rsidR="008D5F3D" w:rsidRPr="00C0373D">
        <w:rPr>
          <w:rFonts w:ascii="Avenir" w:hAnsi="Avenir"/>
          <w:b/>
          <w:sz w:val="24"/>
          <w:szCs w:val="24"/>
        </w:rPr>
        <w:t>ostel</w:t>
      </w:r>
      <w:r w:rsidR="00C0373D">
        <w:rPr>
          <w:rFonts w:ascii="Avenir" w:hAnsi="Avenir"/>
          <w:b/>
          <w:sz w:val="24"/>
          <w:szCs w:val="24"/>
        </w:rPr>
        <w:t>s</w:t>
      </w:r>
      <w:r w:rsidR="00FF32E7" w:rsidRPr="00C0373D">
        <w:rPr>
          <w:rFonts w:ascii="Avenir" w:hAnsi="Avenir"/>
          <w:b/>
          <w:sz w:val="24"/>
          <w:szCs w:val="24"/>
        </w:rPr>
        <w:t>:</w:t>
      </w:r>
    </w:p>
    <w:p w:rsidR="00FF32E7" w:rsidRPr="00C0373D" w:rsidRDefault="00FF32E7" w:rsidP="00FF32E7">
      <w:pPr>
        <w:ind w:left="426"/>
        <w:rPr>
          <w:rFonts w:ascii="Avenir" w:hAnsi="Avenir"/>
          <w:bCs/>
          <w:u w:val="single"/>
        </w:rPr>
      </w:pPr>
      <w:r w:rsidRPr="00C0373D">
        <w:rPr>
          <w:rFonts w:ascii="Avenir" w:hAnsi="Avenir"/>
        </w:rPr>
        <w:t xml:space="preserve">Lyra’s hostel creates a secure inner courtyard </w:t>
      </w:r>
      <w:r w:rsidR="00317B39" w:rsidRPr="00C0373D">
        <w:rPr>
          <w:rFonts w:ascii="Avenir" w:hAnsi="Avenir"/>
        </w:rPr>
        <w:t xml:space="preserve">planted with fruit trees </w:t>
      </w:r>
      <w:r w:rsidRPr="00C0373D">
        <w:rPr>
          <w:rFonts w:ascii="Avenir" w:hAnsi="Avenir"/>
        </w:rPr>
        <w:t>surrounded with social space for the girls to relax, study and spend time with their peer group. It includes toilets and laundry area.</w:t>
      </w:r>
      <w:r w:rsidR="00317B39" w:rsidRPr="00C0373D">
        <w:rPr>
          <w:rFonts w:ascii="Avenir" w:hAnsi="Avenir"/>
        </w:rPr>
        <w:t xml:space="preserve"> It sleeps 96 girls in 12 bedrooms in a space of 596 sqm. A matron’s studio is included within the design.</w:t>
      </w:r>
    </w:p>
    <w:p w:rsidR="00FF32E7" w:rsidRPr="00C0373D" w:rsidRDefault="00FF32E7" w:rsidP="00FF32E7">
      <w:pPr>
        <w:pStyle w:val="ListParagraph"/>
        <w:rPr>
          <w:rFonts w:ascii="Avenir" w:hAnsi="Avenir"/>
          <w:bCs/>
          <w:u w:val="single"/>
        </w:rPr>
      </w:pPr>
      <w:r w:rsidRPr="00C0373D">
        <w:rPr>
          <w:rFonts w:ascii="Avenir" w:hAnsi="Avenir"/>
          <w:bCs/>
          <w:noProof/>
          <w:u w:val="single"/>
          <w:lang w:eastAsia="en-GB"/>
        </w:rPr>
        <w:drawing>
          <wp:inline distT="0" distB="0" distL="0" distR="0">
            <wp:extent cx="5016381" cy="408949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5866" cy="4105384"/>
                    </a:xfrm>
                    <a:prstGeom prst="rect">
                      <a:avLst/>
                    </a:prstGeom>
                    <a:noFill/>
                    <a:ln>
                      <a:noFill/>
                    </a:ln>
                  </pic:spPr>
                </pic:pic>
              </a:graphicData>
            </a:graphic>
          </wp:inline>
        </w:drawing>
      </w:r>
    </w:p>
    <w:p w:rsidR="00C4529A" w:rsidRDefault="00C4529A" w:rsidP="00FF32E7">
      <w:pPr>
        <w:pStyle w:val="ListParagraph"/>
        <w:ind w:left="426"/>
        <w:rPr>
          <w:rFonts w:ascii="Avenir" w:hAnsi="Avenir"/>
          <w:bCs/>
        </w:rPr>
      </w:pPr>
    </w:p>
    <w:p w:rsidR="00FF32E7" w:rsidRPr="00C0373D" w:rsidRDefault="00FF32E7" w:rsidP="00FF32E7">
      <w:pPr>
        <w:pStyle w:val="ListParagraph"/>
        <w:ind w:left="426"/>
        <w:rPr>
          <w:rFonts w:ascii="Avenir" w:hAnsi="Avenir"/>
          <w:bCs/>
        </w:rPr>
      </w:pPr>
      <w:r w:rsidRPr="00C0373D">
        <w:rPr>
          <w:rFonts w:ascii="Avenir" w:hAnsi="Avenir"/>
          <w:bCs/>
        </w:rPr>
        <w:t xml:space="preserve">The Government standard hostel is set out as </w:t>
      </w:r>
      <w:r w:rsidR="00317B39" w:rsidRPr="00C0373D">
        <w:rPr>
          <w:rFonts w:ascii="Avenir" w:hAnsi="Avenir"/>
          <w:bCs/>
        </w:rPr>
        <w:t xml:space="preserve">a </w:t>
      </w:r>
      <w:r w:rsidRPr="00C0373D">
        <w:rPr>
          <w:rFonts w:ascii="Avenir" w:hAnsi="Avenir"/>
          <w:bCs/>
        </w:rPr>
        <w:t xml:space="preserve">long corridor with space </w:t>
      </w:r>
      <w:r w:rsidR="00317B39" w:rsidRPr="00C0373D">
        <w:rPr>
          <w:rFonts w:ascii="Avenir" w:hAnsi="Avenir"/>
          <w:bCs/>
        </w:rPr>
        <w:t>for 20 bedrooms with an added block for laundry and toilets. It sleeps 80 girls in 450 sqm.</w:t>
      </w:r>
    </w:p>
    <w:p w:rsidR="00FF32E7" w:rsidRPr="00C0373D" w:rsidRDefault="00FF32E7" w:rsidP="00FF32E7">
      <w:pPr>
        <w:pStyle w:val="ListParagraph"/>
        <w:ind w:left="426"/>
        <w:rPr>
          <w:rFonts w:ascii="Avenir" w:hAnsi="Avenir"/>
          <w:bCs/>
          <w:sz w:val="28"/>
          <w:szCs w:val="28"/>
        </w:rPr>
      </w:pPr>
      <w:r w:rsidRPr="00C0373D">
        <w:rPr>
          <w:rFonts w:ascii="Avenir" w:hAnsi="Avenir"/>
          <w:bCs/>
          <w:noProof/>
          <w:sz w:val="28"/>
          <w:szCs w:val="28"/>
          <w:lang w:eastAsia="en-GB"/>
        </w:rPr>
        <w:drawing>
          <wp:inline distT="0" distB="0" distL="0" distR="0">
            <wp:extent cx="5335930" cy="3268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8110" cy="3281916"/>
                    </a:xfrm>
                    <a:prstGeom prst="rect">
                      <a:avLst/>
                    </a:prstGeom>
                    <a:noFill/>
                    <a:ln>
                      <a:noFill/>
                    </a:ln>
                  </pic:spPr>
                </pic:pic>
              </a:graphicData>
            </a:graphic>
          </wp:inline>
        </w:drawing>
      </w:r>
    </w:p>
    <w:sectPr w:rsidR="00FF32E7" w:rsidRPr="00C0373D" w:rsidSect="00E51AF2">
      <w:footerReference w:type="default" r:id="rId16"/>
      <w:pgSz w:w="11906" w:h="16838"/>
      <w:pgMar w:top="1276"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6A08" w:rsidRDefault="00A06A08" w:rsidP="00D879AD">
      <w:pPr>
        <w:spacing w:after="0" w:line="240" w:lineRule="auto"/>
      </w:pPr>
      <w:r>
        <w:separator/>
      </w:r>
    </w:p>
  </w:endnote>
  <w:endnote w:type="continuationSeparator" w:id="0">
    <w:p w:rsidR="00A06A08" w:rsidRDefault="00A06A08" w:rsidP="00D8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w:altName w:val="Calibri"/>
    <w:panose1 w:val="02000503020000020003"/>
    <w:charset w:val="00"/>
    <w:family w:val="modern"/>
    <w:notTrueType/>
    <w:pitch w:val="variable"/>
    <w:sig w:usb0="00000003" w:usb1="4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8325"/>
      <w:docPartObj>
        <w:docPartGallery w:val="Page Numbers (Bottom of Page)"/>
        <w:docPartUnique/>
      </w:docPartObj>
    </w:sdtPr>
    <w:sdtEndPr/>
    <w:sdtContent>
      <w:p w:rsidR="006C7AE6" w:rsidRDefault="00EE36B0">
        <w:pPr>
          <w:pStyle w:val="Footer"/>
        </w:pPr>
        <w:r>
          <w:fldChar w:fldCharType="begin"/>
        </w:r>
        <w:r w:rsidR="00F41B41">
          <w:instrText xml:space="preserve"> PAGE   \* MERGEFORMAT </w:instrText>
        </w:r>
        <w:r>
          <w:fldChar w:fldCharType="separate"/>
        </w:r>
        <w:r w:rsidR="009A6A1B">
          <w:rPr>
            <w:noProof/>
          </w:rPr>
          <w:t>8</w:t>
        </w:r>
        <w:r>
          <w:rPr>
            <w:noProof/>
          </w:rPr>
          <w:fldChar w:fldCharType="end"/>
        </w:r>
      </w:p>
    </w:sdtContent>
  </w:sdt>
  <w:p w:rsidR="006C7AE6" w:rsidRDefault="006C7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6A08" w:rsidRDefault="00A06A08" w:rsidP="00D879AD">
      <w:pPr>
        <w:spacing w:after="0" w:line="240" w:lineRule="auto"/>
      </w:pPr>
      <w:r>
        <w:separator/>
      </w:r>
    </w:p>
  </w:footnote>
  <w:footnote w:type="continuationSeparator" w:id="0">
    <w:p w:rsidR="00A06A08" w:rsidRDefault="00A06A08" w:rsidP="00D879AD">
      <w:pPr>
        <w:spacing w:after="0" w:line="240" w:lineRule="auto"/>
      </w:pPr>
      <w:r>
        <w:continuationSeparator/>
      </w:r>
    </w:p>
  </w:footnote>
  <w:footnote w:id="1">
    <w:p w:rsidR="0078487A" w:rsidRPr="00E708BB" w:rsidRDefault="0078487A">
      <w:pPr>
        <w:pStyle w:val="FootnoteText"/>
      </w:pPr>
      <w:r>
        <w:rPr>
          <w:rStyle w:val="FootnoteReference"/>
        </w:rPr>
        <w:footnoteRef/>
      </w:r>
      <w:r w:rsidR="000C4771" w:rsidRPr="00E708BB">
        <w:t xml:space="preserve"> TDHS 2015/16</w:t>
      </w:r>
      <w:r w:rsidR="00DB0086">
        <w:t xml:space="preserve"> </w:t>
      </w:r>
    </w:p>
  </w:footnote>
  <w:footnote w:id="2">
    <w:p w:rsidR="0078487A" w:rsidRPr="00E708BB" w:rsidRDefault="0078487A">
      <w:pPr>
        <w:pStyle w:val="FootnoteText"/>
      </w:pPr>
      <w:r>
        <w:rPr>
          <w:rStyle w:val="FootnoteReference"/>
        </w:rPr>
        <w:footnoteRef/>
      </w:r>
      <w:r w:rsidR="000C4771" w:rsidRPr="00E708BB">
        <w:t xml:space="preserve"> </w:t>
      </w:r>
      <w:hyperlink r:id="rId1" w:history="1">
        <w:r w:rsidR="000C4771" w:rsidRPr="00E708BB">
          <w:rPr>
            <w:rStyle w:val="Hyperlink"/>
          </w:rPr>
          <w:t>https://tradingeconomics.com/tanzania/gross-enrolment-ratio-upper-secondary-female-percent-wb-data.html</w:t>
        </w:r>
      </w:hyperlink>
    </w:p>
  </w:footnote>
  <w:footnote w:id="3">
    <w:p w:rsidR="0078487A" w:rsidRPr="00E708BB" w:rsidRDefault="0078487A">
      <w:pPr>
        <w:pStyle w:val="FootnoteText"/>
      </w:pPr>
      <w:r>
        <w:rPr>
          <w:rStyle w:val="FootnoteReference"/>
        </w:rPr>
        <w:footnoteRef/>
      </w:r>
      <w:r w:rsidR="000C4771" w:rsidRPr="00E708BB">
        <w:t xml:space="preserve"> https://tradingeconomics.com/tanzania/gross-enrolment-ratio-primary-and-secondary-both-sexes-percent-wb-data.html</w:t>
      </w:r>
    </w:p>
  </w:footnote>
  <w:footnote w:id="4">
    <w:p w:rsidR="0078487A" w:rsidRDefault="0078487A" w:rsidP="0078487A">
      <w:pPr>
        <w:pStyle w:val="FootnoteText"/>
      </w:pPr>
      <w:r>
        <w:rPr>
          <w:rStyle w:val="FootnoteReference"/>
        </w:rPr>
        <w:footnoteRef/>
      </w:r>
      <w:r>
        <w:t xml:space="preserve"> </w:t>
      </w:r>
      <w:r w:rsidRPr="004A19E8">
        <w:t>School enrolment, secondary, female (% gross) in Tanzania was reported at 30.13 % in 2018, according to the World Bank collection of development indicators, compiled from officially recognized sources. Tanzania - School enrolment, secondary, female (% gross) - actual values, historical data, forecasts and projections were sourc</w:t>
      </w:r>
      <w:r>
        <w:t>ed from the World Bank on May 2020 and Appendix 1</w:t>
      </w:r>
    </w:p>
    <w:p w:rsidR="0078487A" w:rsidRDefault="0078487A">
      <w:pPr>
        <w:pStyle w:val="FootnoteText"/>
      </w:pPr>
    </w:p>
  </w:footnote>
  <w:footnote w:id="5">
    <w:p w:rsidR="0031042E" w:rsidRDefault="0031042E">
      <w:pPr>
        <w:pStyle w:val="FootnoteText"/>
      </w:pPr>
      <w:r>
        <w:rPr>
          <w:rStyle w:val="FootnoteReference"/>
        </w:rPr>
        <w:footnoteRef/>
      </w:r>
      <w:r>
        <w:t xml:space="preserve">  Lyra’s five partner schools: </w:t>
      </w:r>
      <w:proofErr w:type="spellStart"/>
      <w:r>
        <w:t>Madege</w:t>
      </w:r>
      <w:proofErr w:type="spellEnd"/>
      <w:r>
        <w:t xml:space="preserve">, </w:t>
      </w:r>
      <w:proofErr w:type="spellStart"/>
      <w:r>
        <w:t>Mazombe</w:t>
      </w:r>
      <w:proofErr w:type="spellEnd"/>
      <w:r>
        <w:t xml:space="preserve">, </w:t>
      </w:r>
      <w:proofErr w:type="spellStart"/>
      <w:r>
        <w:t>Lulanzi</w:t>
      </w:r>
      <w:proofErr w:type="spellEnd"/>
      <w:r>
        <w:t xml:space="preserve">, </w:t>
      </w:r>
      <w:proofErr w:type="spellStart"/>
      <w:r>
        <w:t>Nyangoro</w:t>
      </w:r>
      <w:proofErr w:type="spellEnd"/>
      <w:r>
        <w:t xml:space="preserve">, </w:t>
      </w:r>
      <w:proofErr w:type="spellStart"/>
      <w:r>
        <w:t>Lundamatwe</w:t>
      </w:r>
      <w:proofErr w:type="spellEnd"/>
    </w:p>
  </w:footnote>
  <w:footnote w:id="6">
    <w:p w:rsidR="00884FEE" w:rsidRDefault="00884FEE">
      <w:pPr>
        <w:pStyle w:val="FootnoteText"/>
      </w:pPr>
      <w:r>
        <w:rPr>
          <w:rStyle w:val="FootnoteReference"/>
        </w:rPr>
        <w:footnoteRef/>
      </w:r>
      <w:r>
        <w:t xml:space="preserve"> </w:t>
      </w:r>
      <w:r w:rsidRPr="00884FEE">
        <w:t>United Nations Human Settlements Programme (UN-HABITAT): Interlocking Stabilised Soil Blocks -Appropriate earth technologies in Uganda: “Appropriate technology that doesn’t cost the earth”</w:t>
      </w:r>
    </w:p>
  </w:footnote>
  <w:footnote w:id="7">
    <w:p w:rsidR="00A91903" w:rsidRDefault="00A91903" w:rsidP="00A91903">
      <w:pPr>
        <w:pStyle w:val="FootnoteText"/>
      </w:pPr>
      <w:r>
        <w:rPr>
          <w:rStyle w:val="FootnoteReference"/>
        </w:rPr>
        <w:footnoteRef/>
      </w:r>
      <w:r>
        <w:t xml:space="preserve">  </w:t>
      </w:r>
      <w:r w:rsidRPr="0095668D">
        <w:t>United Nations Human Settlements Programme (UN-HABITAT): Interlocking Stabilised Soil Blocks -Appropriate earth technologies in Uganda: “Appropriate technology that doesn’t cost the earth”</w:t>
      </w:r>
    </w:p>
  </w:footnote>
  <w:footnote w:id="8">
    <w:p w:rsidR="00830653" w:rsidRDefault="00830653" w:rsidP="006C7AE6">
      <w:r>
        <w:rPr>
          <w:rStyle w:val="FootnoteReference"/>
        </w:rPr>
        <w:footnoteRef/>
      </w:r>
      <w:r>
        <w:t xml:space="preserve"> </w:t>
      </w:r>
      <w:r w:rsidRPr="00830653">
        <w:rPr>
          <w:sz w:val="20"/>
          <w:szCs w:val="20"/>
        </w:rPr>
        <w:t xml:space="preserve">Simeon </w:t>
      </w:r>
      <w:proofErr w:type="spellStart"/>
      <w:r w:rsidRPr="00830653">
        <w:rPr>
          <w:sz w:val="20"/>
          <w:szCs w:val="20"/>
        </w:rPr>
        <w:t>Kintingu</w:t>
      </w:r>
      <w:proofErr w:type="spellEnd"/>
      <w:r w:rsidRPr="00830653">
        <w:rPr>
          <w:sz w:val="20"/>
          <w:szCs w:val="20"/>
        </w:rPr>
        <w:t>: Doctorate Thesis: DESIGN OF INTERLOCKING BRICKS FOR ENHANCED WALL CONSTRUCTION FLEXIBILITY, ALIGNMENT ACCURACY AND LOAD BEARING, University of Warwick, May 2009</w:t>
      </w:r>
    </w:p>
  </w:footnote>
  <w:footnote w:id="9">
    <w:p w:rsidR="00717838" w:rsidRDefault="00717838">
      <w:pPr>
        <w:pStyle w:val="FootnoteText"/>
      </w:pPr>
      <w:r>
        <w:rPr>
          <w:rStyle w:val="FootnoteReference"/>
        </w:rPr>
        <w:footnoteRef/>
      </w:r>
      <w:r>
        <w:t xml:space="preserve"> </w:t>
      </w:r>
      <w:r w:rsidR="00560EEA">
        <w:t>See appendix 1</w:t>
      </w:r>
      <w:r>
        <w:t xml:space="preserve"> for full calculations on costs and externalities</w:t>
      </w:r>
    </w:p>
  </w:footnote>
  <w:footnote w:id="10">
    <w:p w:rsidR="00DD4A14" w:rsidRDefault="00DD4A14" w:rsidP="00DD4A14">
      <w:pPr>
        <w:pStyle w:val="FootnoteText"/>
      </w:pPr>
      <w:r>
        <w:rPr>
          <w:rStyle w:val="FootnoteReference"/>
        </w:rPr>
        <w:footnoteRef/>
      </w:r>
      <w:r>
        <w:t xml:space="preserve"> Roadmap to registration: Feasibility of Developing a COM Methodology and its</w:t>
      </w:r>
    </w:p>
    <w:p w:rsidR="00DD4A14" w:rsidRDefault="00DD4A14" w:rsidP="00DD4A14">
      <w:pPr>
        <w:pStyle w:val="FootnoteText"/>
      </w:pPr>
      <w:r>
        <w:t>implications on a Project using Interlocking Stabilised Earth Blocks as a Greenhouse Gas reducing building technology, Study for the Good Earth Trust, www.do-inc.net, March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C7C"/>
    <w:multiLevelType w:val="hybridMultilevel"/>
    <w:tmpl w:val="8D6E16B6"/>
    <w:lvl w:ilvl="0" w:tplc="971E05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33EFA"/>
    <w:multiLevelType w:val="hybridMultilevel"/>
    <w:tmpl w:val="89D2A7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C25143C"/>
    <w:multiLevelType w:val="hybridMultilevel"/>
    <w:tmpl w:val="84FC4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2E7FF3"/>
    <w:multiLevelType w:val="hybridMultilevel"/>
    <w:tmpl w:val="81749C7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8034DF8"/>
    <w:multiLevelType w:val="multilevel"/>
    <w:tmpl w:val="1D8AB3DC"/>
    <w:lvl w:ilvl="0">
      <w:start w:val="1"/>
      <w:numFmt w:val="decimal"/>
      <w:lvlText w:val="%1."/>
      <w:lvlJc w:val="left"/>
      <w:pPr>
        <w:ind w:left="720" w:hanging="360"/>
      </w:pPr>
      <w:rPr>
        <w:rFonts w:hint="default"/>
      </w:rPr>
    </w:lvl>
    <w:lvl w:ilvl="1">
      <w:start w:val="1"/>
      <w:numFmt w:val="decimal"/>
      <w:isLgl/>
      <w:lvlText w:val="%1.%2"/>
      <w:lvlJc w:val="left"/>
      <w:pPr>
        <w:ind w:left="1130" w:hanging="4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8232EFE"/>
    <w:multiLevelType w:val="hybridMultilevel"/>
    <w:tmpl w:val="01E85A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C2E3FC0"/>
    <w:multiLevelType w:val="hybridMultilevel"/>
    <w:tmpl w:val="E74C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90894"/>
    <w:multiLevelType w:val="hybridMultilevel"/>
    <w:tmpl w:val="D780D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097A95"/>
    <w:multiLevelType w:val="hybridMultilevel"/>
    <w:tmpl w:val="FEACBA84"/>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9" w15:restartNumberingAfterBreak="0">
    <w:nsid w:val="267D541D"/>
    <w:multiLevelType w:val="hybridMultilevel"/>
    <w:tmpl w:val="8580DF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AF477C"/>
    <w:multiLevelType w:val="hybridMultilevel"/>
    <w:tmpl w:val="5FB4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32D50"/>
    <w:multiLevelType w:val="hybridMultilevel"/>
    <w:tmpl w:val="B99E78A4"/>
    <w:lvl w:ilvl="0" w:tplc="8EEEDD7E">
      <w:start w:val="4"/>
      <w:numFmt w:val="bullet"/>
      <w:lvlText w:val="-"/>
      <w:lvlJc w:val="left"/>
      <w:pPr>
        <w:ind w:left="720" w:hanging="360"/>
      </w:pPr>
      <w:rPr>
        <w:rFonts w:ascii="Avenir" w:eastAsiaTheme="minorHAnsi" w:hAnsi="Aveni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82655"/>
    <w:multiLevelType w:val="multilevel"/>
    <w:tmpl w:val="8B06F59A"/>
    <w:lvl w:ilvl="0">
      <w:start w:val="1"/>
      <w:numFmt w:val="bullet"/>
      <w:lvlText w:val=""/>
      <w:lvlJc w:val="left"/>
      <w:pPr>
        <w:tabs>
          <w:tab w:val="num" w:pos="1080"/>
        </w:tabs>
        <w:ind w:left="1080" w:hanging="360"/>
      </w:pPr>
      <w:rPr>
        <w:rFonts w:ascii="Symbol" w:hAnsi="Symbol" w:hint="default"/>
        <w:sz w:val="20"/>
      </w:rPr>
    </w:lvl>
    <w:lvl w:ilvl="1">
      <w:start w:val="5"/>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43C04EA5"/>
    <w:multiLevelType w:val="hybridMultilevel"/>
    <w:tmpl w:val="89446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A165B4"/>
    <w:multiLevelType w:val="hybridMultilevel"/>
    <w:tmpl w:val="E172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2543F"/>
    <w:multiLevelType w:val="hybridMultilevel"/>
    <w:tmpl w:val="2A9E6E66"/>
    <w:lvl w:ilvl="0" w:tplc="FFD8B7F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EF61C2"/>
    <w:multiLevelType w:val="hybridMultilevel"/>
    <w:tmpl w:val="42B2F4EE"/>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7" w15:restartNumberingAfterBreak="0">
    <w:nsid w:val="553A646A"/>
    <w:multiLevelType w:val="hybridMultilevel"/>
    <w:tmpl w:val="285CC7CC"/>
    <w:lvl w:ilvl="0" w:tplc="EA6A71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584149"/>
    <w:multiLevelType w:val="hybridMultilevel"/>
    <w:tmpl w:val="8F3A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C2D21"/>
    <w:multiLevelType w:val="hybridMultilevel"/>
    <w:tmpl w:val="2C566856"/>
    <w:lvl w:ilvl="0" w:tplc="08090001">
      <w:start w:val="1"/>
      <w:numFmt w:val="bullet"/>
      <w:lvlText w:val=""/>
      <w:lvlJc w:val="left"/>
      <w:pPr>
        <w:ind w:left="2132" w:hanging="360"/>
      </w:pPr>
      <w:rPr>
        <w:rFonts w:ascii="Symbol" w:hAnsi="Symbol" w:hint="default"/>
      </w:rPr>
    </w:lvl>
    <w:lvl w:ilvl="1" w:tplc="08090003" w:tentative="1">
      <w:start w:val="1"/>
      <w:numFmt w:val="bullet"/>
      <w:lvlText w:val="o"/>
      <w:lvlJc w:val="left"/>
      <w:pPr>
        <w:ind w:left="2852" w:hanging="360"/>
      </w:pPr>
      <w:rPr>
        <w:rFonts w:ascii="Courier New" w:hAnsi="Courier New" w:cs="Courier New" w:hint="default"/>
      </w:rPr>
    </w:lvl>
    <w:lvl w:ilvl="2" w:tplc="08090005" w:tentative="1">
      <w:start w:val="1"/>
      <w:numFmt w:val="bullet"/>
      <w:lvlText w:val=""/>
      <w:lvlJc w:val="left"/>
      <w:pPr>
        <w:ind w:left="3572" w:hanging="360"/>
      </w:pPr>
      <w:rPr>
        <w:rFonts w:ascii="Wingdings" w:hAnsi="Wingdings" w:hint="default"/>
      </w:rPr>
    </w:lvl>
    <w:lvl w:ilvl="3" w:tplc="08090001" w:tentative="1">
      <w:start w:val="1"/>
      <w:numFmt w:val="bullet"/>
      <w:lvlText w:val=""/>
      <w:lvlJc w:val="left"/>
      <w:pPr>
        <w:ind w:left="4292" w:hanging="360"/>
      </w:pPr>
      <w:rPr>
        <w:rFonts w:ascii="Symbol" w:hAnsi="Symbol" w:hint="default"/>
      </w:rPr>
    </w:lvl>
    <w:lvl w:ilvl="4" w:tplc="08090003" w:tentative="1">
      <w:start w:val="1"/>
      <w:numFmt w:val="bullet"/>
      <w:lvlText w:val="o"/>
      <w:lvlJc w:val="left"/>
      <w:pPr>
        <w:ind w:left="5012" w:hanging="360"/>
      </w:pPr>
      <w:rPr>
        <w:rFonts w:ascii="Courier New" w:hAnsi="Courier New" w:cs="Courier New" w:hint="default"/>
      </w:rPr>
    </w:lvl>
    <w:lvl w:ilvl="5" w:tplc="08090005" w:tentative="1">
      <w:start w:val="1"/>
      <w:numFmt w:val="bullet"/>
      <w:lvlText w:val=""/>
      <w:lvlJc w:val="left"/>
      <w:pPr>
        <w:ind w:left="5732" w:hanging="360"/>
      </w:pPr>
      <w:rPr>
        <w:rFonts w:ascii="Wingdings" w:hAnsi="Wingdings" w:hint="default"/>
      </w:rPr>
    </w:lvl>
    <w:lvl w:ilvl="6" w:tplc="08090001" w:tentative="1">
      <w:start w:val="1"/>
      <w:numFmt w:val="bullet"/>
      <w:lvlText w:val=""/>
      <w:lvlJc w:val="left"/>
      <w:pPr>
        <w:ind w:left="6452" w:hanging="360"/>
      </w:pPr>
      <w:rPr>
        <w:rFonts w:ascii="Symbol" w:hAnsi="Symbol" w:hint="default"/>
      </w:rPr>
    </w:lvl>
    <w:lvl w:ilvl="7" w:tplc="08090003" w:tentative="1">
      <w:start w:val="1"/>
      <w:numFmt w:val="bullet"/>
      <w:lvlText w:val="o"/>
      <w:lvlJc w:val="left"/>
      <w:pPr>
        <w:ind w:left="7172" w:hanging="360"/>
      </w:pPr>
      <w:rPr>
        <w:rFonts w:ascii="Courier New" w:hAnsi="Courier New" w:cs="Courier New" w:hint="default"/>
      </w:rPr>
    </w:lvl>
    <w:lvl w:ilvl="8" w:tplc="08090005" w:tentative="1">
      <w:start w:val="1"/>
      <w:numFmt w:val="bullet"/>
      <w:lvlText w:val=""/>
      <w:lvlJc w:val="left"/>
      <w:pPr>
        <w:ind w:left="7892" w:hanging="360"/>
      </w:pPr>
      <w:rPr>
        <w:rFonts w:ascii="Wingdings" w:hAnsi="Wingdings" w:hint="default"/>
      </w:rPr>
    </w:lvl>
  </w:abstractNum>
  <w:num w:numId="1">
    <w:abstractNumId w:val="4"/>
  </w:num>
  <w:num w:numId="2">
    <w:abstractNumId w:val="12"/>
  </w:num>
  <w:num w:numId="3">
    <w:abstractNumId w:val="8"/>
  </w:num>
  <w:num w:numId="4">
    <w:abstractNumId w:val="14"/>
  </w:num>
  <w:num w:numId="5">
    <w:abstractNumId w:val="16"/>
  </w:num>
  <w:num w:numId="6">
    <w:abstractNumId w:val="10"/>
  </w:num>
  <w:num w:numId="7">
    <w:abstractNumId w:val="7"/>
  </w:num>
  <w:num w:numId="8">
    <w:abstractNumId w:val="6"/>
  </w:num>
  <w:num w:numId="9">
    <w:abstractNumId w:val="9"/>
  </w:num>
  <w:num w:numId="10">
    <w:abstractNumId w:val="11"/>
  </w:num>
  <w:num w:numId="11">
    <w:abstractNumId w:val="2"/>
  </w:num>
  <w:num w:numId="12">
    <w:abstractNumId w:val="19"/>
  </w:num>
  <w:num w:numId="13">
    <w:abstractNumId w:val="18"/>
  </w:num>
  <w:num w:numId="14">
    <w:abstractNumId w:val="13"/>
  </w:num>
  <w:num w:numId="15">
    <w:abstractNumId w:val="5"/>
  </w:num>
  <w:num w:numId="16">
    <w:abstractNumId w:val="15"/>
  </w:num>
  <w:num w:numId="17">
    <w:abstractNumId w:val="3"/>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39"/>
    <w:rsid w:val="000022B3"/>
    <w:rsid w:val="00035BBA"/>
    <w:rsid w:val="0008100E"/>
    <w:rsid w:val="00082D9F"/>
    <w:rsid w:val="000856FA"/>
    <w:rsid w:val="000C3986"/>
    <w:rsid w:val="000C4771"/>
    <w:rsid w:val="000D6F56"/>
    <w:rsid w:val="000F586F"/>
    <w:rsid w:val="00123C71"/>
    <w:rsid w:val="00151323"/>
    <w:rsid w:val="00164747"/>
    <w:rsid w:val="0017730B"/>
    <w:rsid w:val="001A301C"/>
    <w:rsid w:val="001A5ED4"/>
    <w:rsid w:val="001C2461"/>
    <w:rsid w:val="002103EB"/>
    <w:rsid w:val="0021574F"/>
    <w:rsid w:val="002232EA"/>
    <w:rsid w:val="00241E43"/>
    <w:rsid w:val="00270CFB"/>
    <w:rsid w:val="00276354"/>
    <w:rsid w:val="002E6888"/>
    <w:rsid w:val="002F6A49"/>
    <w:rsid w:val="0031042E"/>
    <w:rsid w:val="00310E1F"/>
    <w:rsid w:val="00317B39"/>
    <w:rsid w:val="003358A3"/>
    <w:rsid w:val="00346F6E"/>
    <w:rsid w:val="00372616"/>
    <w:rsid w:val="00381C72"/>
    <w:rsid w:val="0038216E"/>
    <w:rsid w:val="003958E3"/>
    <w:rsid w:val="003A237C"/>
    <w:rsid w:val="003B1434"/>
    <w:rsid w:val="003C5B63"/>
    <w:rsid w:val="003D60AB"/>
    <w:rsid w:val="003D735F"/>
    <w:rsid w:val="00435F87"/>
    <w:rsid w:val="004639FC"/>
    <w:rsid w:val="0046445D"/>
    <w:rsid w:val="00470F32"/>
    <w:rsid w:val="004A2C49"/>
    <w:rsid w:val="004A6AB5"/>
    <w:rsid w:val="004B6102"/>
    <w:rsid w:val="004C1CA1"/>
    <w:rsid w:val="004D5095"/>
    <w:rsid w:val="00554A39"/>
    <w:rsid w:val="00560EEA"/>
    <w:rsid w:val="005A794A"/>
    <w:rsid w:val="005F01CE"/>
    <w:rsid w:val="00604630"/>
    <w:rsid w:val="006076E6"/>
    <w:rsid w:val="00622AB2"/>
    <w:rsid w:val="00623238"/>
    <w:rsid w:val="006345FE"/>
    <w:rsid w:val="00686C3E"/>
    <w:rsid w:val="006B7D26"/>
    <w:rsid w:val="006C7AE6"/>
    <w:rsid w:val="006E22EE"/>
    <w:rsid w:val="006E3F86"/>
    <w:rsid w:val="006E6461"/>
    <w:rsid w:val="00702553"/>
    <w:rsid w:val="00714BAC"/>
    <w:rsid w:val="00717838"/>
    <w:rsid w:val="0078487A"/>
    <w:rsid w:val="00795D55"/>
    <w:rsid w:val="00796304"/>
    <w:rsid w:val="007E663A"/>
    <w:rsid w:val="00830653"/>
    <w:rsid w:val="008413D1"/>
    <w:rsid w:val="00867DCD"/>
    <w:rsid w:val="00884FEE"/>
    <w:rsid w:val="008D51C8"/>
    <w:rsid w:val="008D5F3D"/>
    <w:rsid w:val="00927559"/>
    <w:rsid w:val="00942C26"/>
    <w:rsid w:val="009A6A1B"/>
    <w:rsid w:val="009B6073"/>
    <w:rsid w:val="00A02527"/>
    <w:rsid w:val="00A06A08"/>
    <w:rsid w:val="00A23BC8"/>
    <w:rsid w:val="00A357D7"/>
    <w:rsid w:val="00A569A8"/>
    <w:rsid w:val="00A86353"/>
    <w:rsid w:val="00A86718"/>
    <w:rsid w:val="00A91903"/>
    <w:rsid w:val="00AD27F0"/>
    <w:rsid w:val="00AE42B4"/>
    <w:rsid w:val="00AF2975"/>
    <w:rsid w:val="00B021EA"/>
    <w:rsid w:val="00BA446C"/>
    <w:rsid w:val="00BE24C2"/>
    <w:rsid w:val="00C014AC"/>
    <w:rsid w:val="00C0373D"/>
    <w:rsid w:val="00C07C87"/>
    <w:rsid w:val="00C27C0F"/>
    <w:rsid w:val="00C4279F"/>
    <w:rsid w:val="00C43C43"/>
    <w:rsid w:val="00C4529A"/>
    <w:rsid w:val="00CC4155"/>
    <w:rsid w:val="00CC6893"/>
    <w:rsid w:val="00CD33ED"/>
    <w:rsid w:val="00CD4DC8"/>
    <w:rsid w:val="00CE1BF9"/>
    <w:rsid w:val="00CE256F"/>
    <w:rsid w:val="00D214F5"/>
    <w:rsid w:val="00D2163C"/>
    <w:rsid w:val="00D3217B"/>
    <w:rsid w:val="00D46F26"/>
    <w:rsid w:val="00D56D63"/>
    <w:rsid w:val="00D5734F"/>
    <w:rsid w:val="00D649C3"/>
    <w:rsid w:val="00D879AD"/>
    <w:rsid w:val="00DB0086"/>
    <w:rsid w:val="00DB35EA"/>
    <w:rsid w:val="00DB5875"/>
    <w:rsid w:val="00DC1797"/>
    <w:rsid w:val="00DC3FD7"/>
    <w:rsid w:val="00DD4A14"/>
    <w:rsid w:val="00E34FA5"/>
    <w:rsid w:val="00E45C85"/>
    <w:rsid w:val="00E51AF2"/>
    <w:rsid w:val="00E708BB"/>
    <w:rsid w:val="00E87B52"/>
    <w:rsid w:val="00ED5151"/>
    <w:rsid w:val="00EE36B0"/>
    <w:rsid w:val="00EF4F2D"/>
    <w:rsid w:val="00F22673"/>
    <w:rsid w:val="00F41B41"/>
    <w:rsid w:val="00F64FF1"/>
    <w:rsid w:val="00F6773C"/>
    <w:rsid w:val="00F80FAB"/>
    <w:rsid w:val="00FC4637"/>
    <w:rsid w:val="00FE3658"/>
    <w:rsid w:val="00FF3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15EAF-4837-214A-8526-9A80F686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A49"/>
    <w:rPr>
      <w:rFonts w:ascii="Segoe UI" w:hAnsi="Segoe UI" w:cs="Segoe UI"/>
      <w:sz w:val="18"/>
      <w:szCs w:val="18"/>
    </w:rPr>
  </w:style>
  <w:style w:type="paragraph" w:styleId="ListParagraph">
    <w:name w:val="List Paragraph"/>
    <w:basedOn w:val="Normal"/>
    <w:uiPriority w:val="1"/>
    <w:qFormat/>
    <w:rsid w:val="002F6A49"/>
    <w:pPr>
      <w:ind w:left="720"/>
      <w:contextualSpacing/>
    </w:pPr>
  </w:style>
  <w:style w:type="paragraph" w:styleId="FootnoteText">
    <w:name w:val="footnote text"/>
    <w:basedOn w:val="Normal"/>
    <w:link w:val="FootnoteTextChar"/>
    <w:uiPriority w:val="99"/>
    <w:unhideWhenUsed/>
    <w:rsid w:val="00D879AD"/>
    <w:pPr>
      <w:spacing w:after="0" w:line="240" w:lineRule="auto"/>
    </w:pPr>
    <w:rPr>
      <w:sz w:val="20"/>
      <w:szCs w:val="20"/>
    </w:rPr>
  </w:style>
  <w:style w:type="character" w:customStyle="1" w:styleId="FootnoteTextChar">
    <w:name w:val="Footnote Text Char"/>
    <w:basedOn w:val="DefaultParagraphFont"/>
    <w:link w:val="FootnoteText"/>
    <w:uiPriority w:val="99"/>
    <w:rsid w:val="00D879AD"/>
    <w:rPr>
      <w:sz w:val="20"/>
      <w:szCs w:val="20"/>
    </w:rPr>
  </w:style>
  <w:style w:type="character" w:styleId="FootnoteReference">
    <w:name w:val="footnote reference"/>
    <w:basedOn w:val="DefaultParagraphFont"/>
    <w:uiPriority w:val="99"/>
    <w:semiHidden/>
    <w:unhideWhenUsed/>
    <w:rsid w:val="00D879AD"/>
    <w:rPr>
      <w:vertAlign w:val="superscript"/>
    </w:rPr>
  </w:style>
  <w:style w:type="character" w:styleId="Hyperlink">
    <w:name w:val="Hyperlink"/>
    <w:basedOn w:val="DefaultParagraphFont"/>
    <w:uiPriority w:val="99"/>
    <w:unhideWhenUsed/>
    <w:rsid w:val="00D879AD"/>
    <w:rPr>
      <w:color w:val="0563C1" w:themeColor="hyperlink"/>
      <w:u w:val="single"/>
    </w:rPr>
  </w:style>
  <w:style w:type="character" w:styleId="CommentReference">
    <w:name w:val="annotation reference"/>
    <w:basedOn w:val="DefaultParagraphFont"/>
    <w:uiPriority w:val="99"/>
    <w:semiHidden/>
    <w:unhideWhenUsed/>
    <w:rsid w:val="001A301C"/>
    <w:rPr>
      <w:sz w:val="16"/>
      <w:szCs w:val="16"/>
    </w:rPr>
  </w:style>
  <w:style w:type="paragraph" w:styleId="CommentText">
    <w:name w:val="annotation text"/>
    <w:basedOn w:val="Normal"/>
    <w:link w:val="CommentTextChar"/>
    <w:uiPriority w:val="99"/>
    <w:semiHidden/>
    <w:unhideWhenUsed/>
    <w:rsid w:val="001A301C"/>
    <w:pPr>
      <w:spacing w:line="240" w:lineRule="auto"/>
    </w:pPr>
    <w:rPr>
      <w:sz w:val="20"/>
      <w:szCs w:val="20"/>
    </w:rPr>
  </w:style>
  <w:style w:type="character" w:customStyle="1" w:styleId="CommentTextChar">
    <w:name w:val="Comment Text Char"/>
    <w:basedOn w:val="DefaultParagraphFont"/>
    <w:link w:val="CommentText"/>
    <w:uiPriority w:val="99"/>
    <w:semiHidden/>
    <w:rsid w:val="001A301C"/>
    <w:rPr>
      <w:sz w:val="20"/>
      <w:szCs w:val="20"/>
    </w:rPr>
  </w:style>
  <w:style w:type="paragraph" w:styleId="CommentSubject">
    <w:name w:val="annotation subject"/>
    <w:basedOn w:val="CommentText"/>
    <w:next w:val="CommentText"/>
    <w:link w:val="CommentSubjectChar"/>
    <w:uiPriority w:val="99"/>
    <w:semiHidden/>
    <w:unhideWhenUsed/>
    <w:rsid w:val="001A301C"/>
    <w:rPr>
      <w:b/>
      <w:bCs/>
    </w:rPr>
  </w:style>
  <w:style w:type="character" w:customStyle="1" w:styleId="CommentSubjectChar">
    <w:name w:val="Comment Subject Char"/>
    <w:basedOn w:val="CommentTextChar"/>
    <w:link w:val="CommentSubject"/>
    <w:uiPriority w:val="99"/>
    <w:semiHidden/>
    <w:rsid w:val="001A301C"/>
    <w:rPr>
      <w:b/>
      <w:bCs/>
      <w:sz w:val="20"/>
      <w:szCs w:val="20"/>
    </w:rPr>
  </w:style>
  <w:style w:type="paragraph" w:styleId="Header">
    <w:name w:val="header"/>
    <w:basedOn w:val="Normal"/>
    <w:link w:val="HeaderChar"/>
    <w:uiPriority w:val="99"/>
    <w:semiHidden/>
    <w:unhideWhenUsed/>
    <w:rsid w:val="006C7A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7AE6"/>
  </w:style>
  <w:style w:type="paragraph" w:styleId="Footer">
    <w:name w:val="footer"/>
    <w:basedOn w:val="Normal"/>
    <w:link w:val="FooterChar"/>
    <w:uiPriority w:val="99"/>
    <w:unhideWhenUsed/>
    <w:rsid w:val="006C7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AE6"/>
  </w:style>
  <w:style w:type="paragraph" w:styleId="Caption">
    <w:name w:val="caption"/>
    <w:basedOn w:val="Normal"/>
    <w:next w:val="Normal"/>
    <w:uiPriority w:val="35"/>
    <w:unhideWhenUsed/>
    <w:qFormat/>
    <w:rsid w:val="004D509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1" Type="http://schemas.openxmlformats.org/officeDocument/2006/relationships/hyperlink" Target="https://tradingeconomics.com/tanzania/gross-enrolment-ratio-upper-secondary-female-percent-wb-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E3B13-3A52-43C1-A461-73B405D8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Barrow</dc:creator>
  <cp:lastModifiedBy>Tahlia King</cp:lastModifiedBy>
  <cp:revision>3</cp:revision>
  <dcterms:created xsi:type="dcterms:W3CDTF">2020-08-13T17:59:00Z</dcterms:created>
  <dcterms:modified xsi:type="dcterms:W3CDTF">2020-09-23T13:51:00Z</dcterms:modified>
</cp:coreProperties>
</file>